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5763"/>
        <w:gridCol w:w="3777"/>
      </w:tblGrid>
      <w:tr w:rsidR="000E7209" w:rsidRPr="00E20C76" w14:paraId="7D87BF45" w14:textId="77777777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14:paraId="604CCE00" w14:textId="427F5BD7" w:rsidR="000E7209" w:rsidRPr="00E20C76" w:rsidRDefault="000E7209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oddíl 1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="00132A12" w:rsidRPr="00E20C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IDENTIFIKACE LÁTKY / SMĚSI A SPOLEČNOSTI / PODNIKU </w:t>
            </w:r>
          </w:p>
        </w:tc>
      </w:tr>
      <w:tr w:rsidR="000E7209" w:rsidRPr="00E20C76" w14:paraId="74D12C91" w14:textId="77777777" w:rsidTr="00A34A39">
        <w:tc>
          <w:tcPr>
            <w:tcW w:w="1008" w:type="dxa"/>
          </w:tcPr>
          <w:p w14:paraId="5BC1C223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2"/>
          </w:tcPr>
          <w:p w14:paraId="33418D2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Identifikátor výrobku:</w:t>
            </w:r>
          </w:p>
        </w:tc>
      </w:tr>
      <w:tr w:rsidR="000E7209" w:rsidRPr="00E20C76" w14:paraId="665A63EE" w14:textId="77777777" w:rsidTr="00A34A39">
        <w:tc>
          <w:tcPr>
            <w:tcW w:w="1008" w:type="dxa"/>
          </w:tcPr>
          <w:p w14:paraId="17A7AC3E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68779DA" w14:textId="3B3A57B2" w:rsidR="000E7209" w:rsidRPr="0031167B" w:rsidRDefault="00124ADC" w:rsidP="002C49A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801,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premium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stamp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pad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ink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blue,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silent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sea</w:t>
            </w:r>
            <w:proofErr w:type="spellEnd"/>
          </w:p>
        </w:tc>
      </w:tr>
      <w:tr w:rsidR="007C3D69" w:rsidRPr="00E20C76" w14:paraId="39C339F6" w14:textId="77777777" w:rsidTr="00A34A39">
        <w:tc>
          <w:tcPr>
            <w:tcW w:w="1008" w:type="dxa"/>
          </w:tcPr>
          <w:p w14:paraId="34B88318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1.1.1</w:t>
            </w:r>
          </w:p>
        </w:tc>
        <w:tc>
          <w:tcPr>
            <w:tcW w:w="9540" w:type="dxa"/>
            <w:gridSpan w:val="2"/>
          </w:tcPr>
          <w:p w14:paraId="2589FD32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identifikátory výrobku:</w:t>
            </w:r>
          </w:p>
        </w:tc>
      </w:tr>
      <w:tr w:rsidR="00132A12" w:rsidRPr="00E20C76" w14:paraId="39282BAD" w14:textId="77777777" w:rsidTr="00A34A39">
        <w:tc>
          <w:tcPr>
            <w:tcW w:w="1008" w:type="dxa"/>
          </w:tcPr>
          <w:p w14:paraId="4EBCB8C6" w14:textId="77777777" w:rsidR="00132A12" w:rsidRPr="00E20C76" w:rsidRDefault="00132A1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90969AF" w14:textId="2A78E190" w:rsidR="00132A12" w:rsidRPr="00F94A6C" w:rsidRDefault="00124AD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801,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premium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stamp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pad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ink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blue,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silent</w:t>
            </w:r>
            <w:proofErr w:type="spellEnd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4A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sea</w:t>
            </w:r>
            <w:proofErr w:type="spellEnd"/>
          </w:p>
        </w:tc>
      </w:tr>
      <w:tr w:rsidR="007C3D69" w:rsidRPr="00E20C76" w14:paraId="2174B2D5" w14:textId="77777777" w:rsidTr="004A0DA6">
        <w:trPr>
          <w:trHeight w:val="288"/>
        </w:trPr>
        <w:tc>
          <w:tcPr>
            <w:tcW w:w="1008" w:type="dxa"/>
            <w:vAlign w:val="center"/>
          </w:tcPr>
          <w:p w14:paraId="11936132" w14:textId="77777777" w:rsidR="007C3D69" w:rsidRPr="00E20C76" w:rsidRDefault="007C3D69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  <w:vAlign w:val="center"/>
          </w:tcPr>
          <w:p w14:paraId="6B93D58F" w14:textId="0162034B" w:rsidR="00C2392C" w:rsidRPr="00834AE9" w:rsidRDefault="00132A12" w:rsidP="00F94A6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Číslo produktu: </w:t>
            </w:r>
            <w:r w:rsidR="00EA3DA7" w:rsidRPr="00EA3DA7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Col 24 </w:t>
            </w:r>
            <w:proofErr w:type="spellStart"/>
            <w:r w:rsidR="00124A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blau</w:t>
            </w:r>
            <w:proofErr w:type="spellEnd"/>
          </w:p>
        </w:tc>
      </w:tr>
      <w:tr w:rsidR="000E7209" w:rsidRPr="00E20C76" w14:paraId="6008BC9B" w14:textId="77777777" w:rsidTr="00A34A39">
        <w:tc>
          <w:tcPr>
            <w:tcW w:w="1008" w:type="dxa"/>
          </w:tcPr>
          <w:p w14:paraId="14FD4DCE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2"/>
          </w:tcPr>
          <w:p w14:paraId="549E82B2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A406F3" w:rsidRPr="00E20C76" w14:paraId="17907B94" w14:textId="77777777" w:rsidTr="00A34A39">
        <w:tc>
          <w:tcPr>
            <w:tcW w:w="1008" w:type="dxa"/>
          </w:tcPr>
          <w:p w14:paraId="4A386D43" w14:textId="77777777" w:rsidR="00A406F3" w:rsidRPr="00E20C76" w:rsidRDefault="00A406F3" w:rsidP="00A406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A3A2C23" w14:textId="77777777" w:rsidR="00F94A6C" w:rsidRDefault="00A406F3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Použití: </w:t>
            </w:r>
            <w:r w:rsidR="00F94A6C" w:rsidRPr="00F94A6C">
              <w:rPr>
                <w:rFonts w:asciiTheme="minorHAnsi" w:hAnsiTheme="minorHAnsi" w:cstheme="minorHAnsi"/>
                <w:sz w:val="20"/>
                <w:szCs w:val="20"/>
              </w:rPr>
              <w:t xml:space="preserve">Razítková barva </w:t>
            </w:r>
          </w:p>
          <w:p w14:paraId="71C46CD7" w14:textId="0D51E7E6" w:rsidR="0013356C" w:rsidRPr="00E20C76" w:rsidRDefault="001335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Nedoporučená použití: jiná než výše uvedená</w:t>
            </w:r>
          </w:p>
        </w:tc>
      </w:tr>
      <w:tr w:rsidR="000E7209" w:rsidRPr="00E20C76" w14:paraId="77E49CCF" w14:textId="77777777" w:rsidTr="00A34A39">
        <w:tc>
          <w:tcPr>
            <w:tcW w:w="1008" w:type="dxa"/>
          </w:tcPr>
          <w:p w14:paraId="1CE19FD4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2"/>
          </w:tcPr>
          <w:p w14:paraId="16BD514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782D67" w:rsidRPr="00E20C76" w14:paraId="7D0FAD39" w14:textId="77777777" w:rsidTr="00782D67">
        <w:trPr>
          <w:trHeight w:val="749"/>
        </w:trPr>
        <w:tc>
          <w:tcPr>
            <w:tcW w:w="1008" w:type="dxa"/>
          </w:tcPr>
          <w:p w14:paraId="1C1E9E6E" w14:textId="77777777" w:rsidR="00782D67" w:rsidRPr="00E20C76" w:rsidRDefault="00782D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0F88B651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Obchodní firma: COLOP CZ s.r.o. </w:t>
            </w:r>
          </w:p>
          <w:p w14:paraId="1F191AEF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Sídlo: Na Výhony 291, CZ-373 12 Borovany, Česká republika </w:t>
            </w:r>
          </w:p>
          <w:p w14:paraId="1ED8C524" w14:textId="640140A0" w:rsidR="00782D67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Telefon/Fax: +42 (0) 387 981 324</w:t>
            </w:r>
          </w:p>
        </w:tc>
      </w:tr>
      <w:tr w:rsidR="000E7209" w:rsidRPr="00E20C76" w14:paraId="359D4051" w14:textId="77777777" w:rsidTr="00A34A39">
        <w:tc>
          <w:tcPr>
            <w:tcW w:w="1008" w:type="dxa"/>
          </w:tcPr>
          <w:p w14:paraId="3CD16229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  <w:gridSpan w:val="2"/>
          </w:tcPr>
          <w:p w14:paraId="47AF92BD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Osoba odborně způsobilá zodpovědná za bezpečnostní list</w:t>
            </w:r>
          </w:p>
        </w:tc>
      </w:tr>
      <w:tr w:rsidR="00F94A6C" w:rsidRPr="00E20C76" w14:paraId="1AE9828A" w14:textId="77777777" w:rsidTr="0007398F">
        <w:trPr>
          <w:trHeight w:val="255"/>
        </w:trPr>
        <w:tc>
          <w:tcPr>
            <w:tcW w:w="1008" w:type="dxa"/>
          </w:tcPr>
          <w:p w14:paraId="6CB92D3A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1709070E" w14:textId="3A32F60D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D831D1">
                <w:rPr>
                  <w:sz w:val="20"/>
                  <w:szCs w:val="20"/>
                </w:rPr>
                <w:t>o</w:t>
              </w:r>
              <w:r w:rsidRPr="00D831D1">
                <w:rPr>
                  <w:rFonts w:asciiTheme="minorHAnsi" w:hAnsiTheme="minorHAnsi" w:cstheme="minorHAnsi"/>
                  <w:sz w:val="20"/>
                  <w:szCs w:val="20"/>
                </w:rPr>
                <w:t>bchod@colop.cz</w:t>
              </w:r>
            </w:hyperlink>
          </w:p>
        </w:tc>
        <w:tc>
          <w:tcPr>
            <w:tcW w:w="3777" w:type="dxa"/>
          </w:tcPr>
          <w:p w14:paraId="506056A9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209" w:rsidRPr="00E20C76" w14:paraId="6CACA2D4" w14:textId="77777777" w:rsidTr="00A34A39">
        <w:tc>
          <w:tcPr>
            <w:tcW w:w="1008" w:type="dxa"/>
          </w:tcPr>
          <w:p w14:paraId="0B41A64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  <w:gridSpan w:val="2"/>
          </w:tcPr>
          <w:p w14:paraId="7093AEF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E20C76" w14:paraId="6E69FAE6" w14:textId="77777777" w:rsidTr="00A34A39">
        <w:tc>
          <w:tcPr>
            <w:tcW w:w="1008" w:type="dxa"/>
          </w:tcPr>
          <w:p w14:paraId="35EFA284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453A7366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+420 602 414 051 nebo Toxikologické informační středisko, Na Bojišti 1, 128 08 Praha2, telefon nepřetržitě 224 919 293,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224  915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402, nebo (pouze ve dne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224  914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 575)</w:t>
            </w:r>
          </w:p>
        </w:tc>
      </w:tr>
    </w:tbl>
    <w:p w14:paraId="72CB4A81" w14:textId="77777777" w:rsidR="00624232" w:rsidRPr="00E20C76" w:rsidRDefault="00624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E20C76" w14:paraId="2D66B30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BF627ED" w14:textId="43251FA6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A41F17" w:rsidRPr="00E20C76" w14:paraId="1DC7E423" w14:textId="77777777" w:rsidTr="005D38A2">
        <w:tc>
          <w:tcPr>
            <w:tcW w:w="1008" w:type="dxa"/>
            <w:vAlign w:val="center"/>
          </w:tcPr>
          <w:p w14:paraId="57EFA841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  <w:vAlign w:val="center"/>
          </w:tcPr>
          <w:p w14:paraId="201697BD" w14:textId="77777777" w:rsidR="00A41F17" w:rsidRPr="00E20C76" w:rsidRDefault="00A41F17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látky nebo směsi</w:t>
            </w:r>
          </w:p>
        </w:tc>
      </w:tr>
      <w:tr w:rsidR="006C27AC" w:rsidRPr="00E20C76" w14:paraId="4ABD8165" w14:textId="77777777" w:rsidTr="005D38A2">
        <w:tc>
          <w:tcPr>
            <w:tcW w:w="1008" w:type="dxa"/>
          </w:tcPr>
          <w:p w14:paraId="1887C837" w14:textId="77777777" w:rsidR="006C27AC" w:rsidRPr="00E20C76" w:rsidRDefault="00882615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2.1.1</w:t>
            </w:r>
          </w:p>
        </w:tc>
        <w:tc>
          <w:tcPr>
            <w:tcW w:w="9540" w:type="dxa"/>
          </w:tcPr>
          <w:p w14:paraId="2C18B3FB" w14:textId="77777777" w:rsidR="006C27AC" w:rsidRPr="00E20C76" w:rsidRDefault="006C27AC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směsi v souladu s nařízením (ES) č. 1272/2008</w:t>
            </w:r>
          </w:p>
        </w:tc>
      </w:tr>
      <w:tr w:rsidR="006C27AC" w:rsidRPr="00E20C76" w14:paraId="60C27746" w14:textId="77777777" w:rsidTr="005D38A2">
        <w:tc>
          <w:tcPr>
            <w:tcW w:w="1008" w:type="dxa"/>
          </w:tcPr>
          <w:p w14:paraId="6319D808" w14:textId="77777777" w:rsidR="006C27AC" w:rsidRPr="00E20C76" w:rsidRDefault="006C27A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11B17AD8" w14:textId="7B3EB522" w:rsidR="006C27A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Není klasifikováno jako nebezpečná směs</w:t>
            </w:r>
          </w:p>
        </w:tc>
      </w:tr>
      <w:tr w:rsidR="000E7209" w:rsidRPr="00E20C76" w14:paraId="236D13A4" w14:textId="77777777" w:rsidTr="005D38A2">
        <w:tc>
          <w:tcPr>
            <w:tcW w:w="1008" w:type="dxa"/>
          </w:tcPr>
          <w:p w14:paraId="1F66AB39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40C367AC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F94A6C" w:rsidRPr="00E20C76" w14:paraId="5FA712BA" w14:textId="77777777" w:rsidTr="005D38A2">
        <w:tc>
          <w:tcPr>
            <w:tcW w:w="1008" w:type="dxa"/>
          </w:tcPr>
          <w:p w14:paraId="2A975278" w14:textId="77777777" w:rsidR="00F94A6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0A43A1E9" w14:textId="5D20193F" w:rsidR="00F94A6C" w:rsidRPr="00E20C76" w:rsidRDefault="00F94A6C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ECAE480" w14:textId="77777777" w:rsidTr="005D38A2">
        <w:tc>
          <w:tcPr>
            <w:tcW w:w="1008" w:type="dxa"/>
          </w:tcPr>
          <w:p w14:paraId="2786546B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67616775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F94A6C" w:rsidRPr="00E20C76" w14:paraId="3B34CCF9" w14:textId="77777777" w:rsidTr="005D38A2">
        <w:tc>
          <w:tcPr>
            <w:tcW w:w="1008" w:type="dxa"/>
          </w:tcPr>
          <w:p w14:paraId="68ACB2AD" w14:textId="77777777" w:rsidR="00F94A6C" w:rsidRPr="00E20C76" w:rsidRDefault="00F94A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4F8F2F" w14:textId="3950336C" w:rsidR="00F94A6C" w:rsidRPr="00E20C76" w:rsidRDefault="00F94A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533C85A4" w14:textId="77777777" w:rsidTr="005D38A2">
        <w:tc>
          <w:tcPr>
            <w:tcW w:w="1008" w:type="dxa"/>
          </w:tcPr>
          <w:p w14:paraId="73A8508F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2.1.4</w:t>
            </w:r>
          </w:p>
        </w:tc>
        <w:tc>
          <w:tcPr>
            <w:tcW w:w="9540" w:type="dxa"/>
          </w:tcPr>
          <w:p w14:paraId="1B277191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13356C" w:rsidRPr="00E20C76" w14:paraId="5972F7BF" w14:textId="77777777" w:rsidTr="005D38A2">
        <w:tc>
          <w:tcPr>
            <w:tcW w:w="1008" w:type="dxa"/>
          </w:tcPr>
          <w:p w14:paraId="53DFC6BC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AD7F230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4F66D4AD" w14:textId="77777777" w:rsidTr="005D38A2">
        <w:tc>
          <w:tcPr>
            <w:tcW w:w="1008" w:type="dxa"/>
          </w:tcPr>
          <w:p w14:paraId="2A975233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2.1.5</w:t>
            </w:r>
          </w:p>
        </w:tc>
        <w:tc>
          <w:tcPr>
            <w:tcW w:w="9540" w:type="dxa"/>
          </w:tcPr>
          <w:p w14:paraId="0A393304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nepříznivé účinky</w:t>
            </w:r>
          </w:p>
        </w:tc>
      </w:tr>
      <w:tr w:rsidR="0013356C" w:rsidRPr="00E20C76" w14:paraId="2EE67147" w14:textId="77777777" w:rsidTr="005D38A2">
        <w:tc>
          <w:tcPr>
            <w:tcW w:w="1008" w:type="dxa"/>
          </w:tcPr>
          <w:p w14:paraId="36F9E1D7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2B59CBA6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C62C32A" w14:textId="77777777" w:rsidTr="005D38A2">
        <w:tc>
          <w:tcPr>
            <w:tcW w:w="1008" w:type="dxa"/>
          </w:tcPr>
          <w:p w14:paraId="30F38D68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9540" w:type="dxa"/>
          </w:tcPr>
          <w:p w14:paraId="0A849C0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Prvky označení</w:t>
            </w:r>
          </w:p>
        </w:tc>
      </w:tr>
      <w:tr w:rsidR="006C27AC" w:rsidRPr="00E20C76" w14:paraId="084C9B85" w14:textId="77777777" w:rsidTr="00F94A6C">
        <w:tc>
          <w:tcPr>
            <w:tcW w:w="1008" w:type="dxa"/>
          </w:tcPr>
          <w:p w14:paraId="13E5D716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2.2.1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3791CA3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Označení v souladu s nařízením (ES) č. 1272/2008</w:t>
            </w:r>
          </w:p>
        </w:tc>
      </w:tr>
      <w:tr w:rsidR="006C27AC" w:rsidRPr="00E20C76" w14:paraId="18E1DDDF" w14:textId="77777777" w:rsidTr="00F94A6C">
        <w:tc>
          <w:tcPr>
            <w:tcW w:w="1008" w:type="dxa"/>
            <w:tcBorders>
              <w:right w:val="single" w:sz="4" w:space="0" w:color="auto"/>
            </w:tcBorders>
          </w:tcPr>
          <w:p w14:paraId="7DF6EBFE" w14:textId="77777777" w:rsidR="006C27AC" w:rsidRPr="00F94A6C" w:rsidRDefault="006C27A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0EC" w14:textId="680A1729" w:rsidR="00477F1D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</w:rPr>
              <w:t>EUH210 Na vyžádání je k dispozici bezpečnostní list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E7209" w:rsidRPr="00E20C76" w14:paraId="136D149F" w14:textId="77777777" w:rsidTr="00F94A6C">
        <w:tc>
          <w:tcPr>
            <w:tcW w:w="1008" w:type="dxa"/>
          </w:tcPr>
          <w:p w14:paraId="71B13F1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9540" w:type="dxa"/>
            <w:tcBorders>
              <w:top w:val="single" w:sz="4" w:space="0" w:color="auto"/>
            </w:tcBorders>
          </w:tcPr>
          <w:p w14:paraId="37CECBC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nebezpečnost</w:t>
            </w:r>
          </w:p>
        </w:tc>
      </w:tr>
      <w:tr w:rsidR="000E7209" w:rsidRPr="00E20C76" w14:paraId="74508DEB" w14:textId="77777777" w:rsidTr="005D38A2">
        <w:tc>
          <w:tcPr>
            <w:tcW w:w="1008" w:type="dxa"/>
          </w:tcPr>
          <w:p w14:paraId="5ABCE47D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5EECC2B" w14:textId="77777777" w:rsidR="000E7209" w:rsidRPr="00E20C76" w:rsidRDefault="000E7209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Směs nesplňuje kritéria pro látky PBT nebo </w:t>
            </w:r>
            <w:proofErr w:type="spellStart"/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vPvB</w:t>
            </w:r>
            <w:proofErr w:type="spellEnd"/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 v souladu s přílohou XIII Nařízení EU 1907/2006</w:t>
            </w:r>
            <w:r w:rsidR="002A36E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.</w:t>
            </w:r>
          </w:p>
          <w:p w14:paraId="6222C79E" w14:textId="7777777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Tento produkt neobsahuje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disruptory</w:t>
            </w:r>
            <w:proofErr w:type="spell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v koncentraci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0,1%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hmotnostních nebo vyšší.</w:t>
            </w:r>
          </w:p>
          <w:p w14:paraId="1B966940" w14:textId="6B50F5E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Tento produkt neobsahuje SVHC látku v koncentraci 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0,1%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hmotnostních nebo vyšší.</w:t>
            </w:r>
          </w:p>
        </w:tc>
      </w:tr>
      <w:tr w:rsidR="000E7209" w:rsidRPr="00E20C76" w14:paraId="727BDBD1" w14:textId="77777777" w:rsidTr="005D38A2">
        <w:tc>
          <w:tcPr>
            <w:tcW w:w="1008" w:type="dxa"/>
          </w:tcPr>
          <w:p w14:paraId="5161702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</w:p>
        </w:tc>
        <w:tc>
          <w:tcPr>
            <w:tcW w:w="9540" w:type="dxa"/>
          </w:tcPr>
          <w:p w14:paraId="221749ED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0E7209" w:rsidRPr="00E20C76" w14:paraId="6E6546E5" w14:textId="77777777" w:rsidTr="005D38A2">
        <w:tc>
          <w:tcPr>
            <w:tcW w:w="1008" w:type="dxa"/>
          </w:tcPr>
          <w:p w14:paraId="14ACCF26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939FC6" w14:textId="77777777" w:rsidR="00BF1C5C" w:rsidRPr="00E20C76" w:rsidRDefault="00A61B47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Další informace, které je nutno uvést na obalu směsi v souladu s dalšími předpisy, viz Oddíl 15</w:t>
            </w:r>
            <w:r w:rsidR="00BF1C5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3E5DA279" w14:textId="77777777" w:rsidR="000E7209" w:rsidRPr="00E20C76" w:rsidRDefault="000E72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192"/>
        <w:gridCol w:w="2953"/>
        <w:gridCol w:w="1985"/>
        <w:gridCol w:w="1701"/>
        <w:gridCol w:w="2751"/>
      </w:tblGrid>
      <w:tr w:rsidR="002A36EC" w:rsidRPr="00E20C76" w14:paraId="02EF9A41" w14:textId="77777777" w:rsidTr="00F64404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14:paraId="292EC95C" w14:textId="18C66B5A" w:rsidR="002A36EC" w:rsidRPr="00E20C76" w:rsidRDefault="002A36EC" w:rsidP="002A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F64404" w:rsidRPr="00E20C76" w14:paraId="0ACA5DFF" w14:textId="77777777" w:rsidTr="00F64404">
        <w:trPr>
          <w:gridBefore w:val="1"/>
          <w:wBefore w:w="38" w:type="dxa"/>
        </w:trPr>
        <w:tc>
          <w:tcPr>
            <w:tcW w:w="1192" w:type="dxa"/>
          </w:tcPr>
          <w:p w14:paraId="3CFD5C32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14:paraId="5EC6C6ED" w14:textId="77777777" w:rsidR="00F64404" w:rsidRPr="00E20C76" w:rsidRDefault="00F64404" w:rsidP="004076B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Směsi</w:t>
            </w:r>
          </w:p>
        </w:tc>
      </w:tr>
      <w:tr w:rsidR="002A36EC" w:rsidRPr="00E20C76" w14:paraId="51140BF6" w14:textId="77777777" w:rsidTr="00F64404">
        <w:tc>
          <w:tcPr>
            <w:tcW w:w="10620" w:type="dxa"/>
            <w:gridSpan w:val="6"/>
          </w:tcPr>
          <w:p w14:paraId="1084C8B2" w14:textId="77777777" w:rsidR="002A36EC" w:rsidRPr="00E20C76" w:rsidRDefault="007C3D69" w:rsidP="00F64404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asciiTheme="minorHAnsi" w:eastAsia="EUAlbertina-Regular-Identity-H" w:hAnsiTheme="minorHAnsi" w:cstheme="minorHAnsi"/>
                <w:snapToGrid/>
                <w:sz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Popis: </w:t>
            </w:r>
            <w:r w:rsidR="0012682F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Směs </w:t>
            </w:r>
            <w:r w:rsidR="00F64404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>níže uvedených látek s příměsemi bez nebezpečných vlastností.</w:t>
            </w:r>
          </w:p>
        </w:tc>
      </w:tr>
      <w:tr w:rsidR="008F1801" w:rsidRPr="00E20C76" w14:paraId="023548A9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091BB828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Nebezpečné látky:</w:t>
            </w:r>
          </w:p>
        </w:tc>
        <w:tc>
          <w:tcPr>
            <w:tcW w:w="1985" w:type="dxa"/>
            <w:vAlign w:val="center"/>
          </w:tcPr>
          <w:p w14:paraId="07749D9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Indexové č.</w:t>
            </w:r>
          </w:p>
          <w:p w14:paraId="1FCD7E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ES č.</w:t>
            </w:r>
          </w:p>
          <w:p w14:paraId="298057E9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CAS č.</w:t>
            </w:r>
          </w:p>
          <w:p w14:paraId="3BB94290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</w:t>
            </w:r>
          </w:p>
        </w:tc>
        <w:tc>
          <w:tcPr>
            <w:tcW w:w="1701" w:type="dxa"/>
            <w:vAlign w:val="center"/>
          </w:tcPr>
          <w:p w14:paraId="4D3B5BA3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Obsah </w:t>
            </w:r>
          </w:p>
          <w:p w14:paraId="7937676F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(%hm.)</w:t>
            </w:r>
          </w:p>
        </w:tc>
        <w:tc>
          <w:tcPr>
            <w:tcW w:w="2751" w:type="dxa"/>
            <w:vAlign w:val="center"/>
          </w:tcPr>
          <w:p w14:paraId="5D880AC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</w:t>
            </w:r>
          </w:p>
          <w:p w14:paraId="47116A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F24643" w:rsidRPr="002E1D49" w14:paraId="1763D36C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5B9F681D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2-Pyrrolidinone</w:t>
            </w:r>
            <w:proofErr w:type="gramEnd"/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1-ethenyl-, homopolymer</w:t>
            </w:r>
          </w:p>
        </w:tc>
        <w:tc>
          <w:tcPr>
            <w:tcW w:w="1985" w:type="dxa"/>
            <w:vAlign w:val="center"/>
          </w:tcPr>
          <w:p w14:paraId="0D6A1966" w14:textId="1CB5428E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Dodavatel  neuvádí</w:t>
            </w:r>
            <w:proofErr w:type="gramEnd"/>
          </w:p>
        </w:tc>
        <w:tc>
          <w:tcPr>
            <w:tcW w:w="1701" w:type="dxa"/>
            <w:vAlign w:val="center"/>
          </w:tcPr>
          <w:p w14:paraId="3A5D1102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2,5-10</w:t>
            </w:r>
          </w:p>
        </w:tc>
        <w:tc>
          <w:tcPr>
            <w:tcW w:w="2751" w:type="dxa"/>
            <w:vAlign w:val="center"/>
          </w:tcPr>
          <w:p w14:paraId="1F6240FC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</w:t>
            </w:r>
            <w:proofErr w:type="spellEnd"/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Sol. 1, H228</w:t>
            </w:r>
          </w:p>
        </w:tc>
      </w:tr>
      <w:tr w:rsidR="00F24643" w:rsidRPr="00F94A6C" w14:paraId="084CBC4A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183" w:type="dxa"/>
            <w:gridSpan w:val="3"/>
            <w:vAlign w:val="center"/>
          </w:tcPr>
          <w:p w14:paraId="35EA5A6B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 Blue 9</w:t>
            </w:r>
          </w:p>
        </w:tc>
        <w:tc>
          <w:tcPr>
            <w:tcW w:w="1985" w:type="dxa"/>
            <w:vAlign w:val="center"/>
          </w:tcPr>
          <w:p w14:paraId="7A9B7C94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3A07456F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43FF7CFB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3844-45-9</w:t>
            </w:r>
          </w:p>
          <w:p w14:paraId="3B6A71DD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D9F0C77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&lt;2.5</w:t>
            </w:r>
          </w:p>
        </w:tc>
        <w:tc>
          <w:tcPr>
            <w:tcW w:w="2751" w:type="dxa"/>
            <w:vAlign w:val="center"/>
          </w:tcPr>
          <w:p w14:paraId="59AE219F" w14:textId="77777777" w:rsidR="00F24643" w:rsidRPr="00F94A6C" w:rsidRDefault="00F24643" w:rsidP="00C266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</w:t>
            </w:r>
            <w:proofErr w:type="spellEnd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</w:t>
            </w:r>
            <w:proofErr w:type="spellEnd"/>
            <w:r w:rsidRPr="00F94A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3, H412</w:t>
            </w:r>
          </w:p>
        </w:tc>
      </w:tr>
      <w:tr w:rsidR="009C243E" w:rsidRPr="00F94A6C" w14:paraId="1AFBF87A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183" w:type="dxa"/>
            <w:gridSpan w:val="3"/>
            <w:vAlign w:val="center"/>
          </w:tcPr>
          <w:p w14:paraId="4CC01192" w14:textId="1B9A7026" w:rsidR="00F24643" w:rsidRPr="00F24643" w:rsidRDefault="00F24643" w:rsidP="00F246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Hydrogen [4-[[4-(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diethylamino)phenyl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][4-[ethyl(3-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sulphonatobenzyl)amino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phenyl]methylene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]cyclohexa-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2,5-dien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-1-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ylidene](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ethyl)(3-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sulphonatobenzyl)ammonium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sodium</w:t>
            </w:r>
            <w:proofErr w:type="spell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salt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  <w:p w14:paraId="4390B568" w14:textId="3DD5C3A9" w:rsidR="009C243E" w:rsidRPr="00F24643" w:rsidRDefault="00F24643" w:rsidP="00F246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Serva</w:t>
            </w:r>
            <w:proofErr w:type="spell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violet 17</w:t>
            </w:r>
            <w:r w:rsidRPr="00F24643">
              <w:t xml:space="preserve"> </w:t>
            </w:r>
          </w:p>
        </w:tc>
        <w:tc>
          <w:tcPr>
            <w:tcW w:w="1985" w:type="dxa"/>
            <w:vAlign w:val="center"/>
          </w:tcPr>
          <w:p w14:paraId="14D8A874" w14:textId="77777777" w:rsidR="009C243E" w:rsidRPr="00F24643" w:rsidRDefault="009C243E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39A79114" w14:textId="253246F3" w:rsidR="009C243E" w:rsidRPr="00F24643" w:rsidRDefault="009C243E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223-942-6</w:t>
            </w: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85F3089" w14:textId="77777777" w:rsidR="009C243E" w:rsidRPr="00F24643" w:rsidRDefault="009C243E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4129-84-4</w:t>
            </w:r>
          </w:p>
          <w:p w14:paraId="218C1F8A" w14:textId="16D5BC08" w:rsidR="009C243E" w:rsidRPr="00F24643" w:rsidRDefault="009C243E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7A2B2EC" w14:textId="79C1E8A9" w:rsidR="009C243E" w:rsidRPr="00F24643" w:rsidRDefault="00F24643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0.25</w:t>
            </w: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–&lt;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1" w:type="dxa"/>
            <w:vAlign w:val="center"/>
          </w:tcPr>
          <w:p w14:paraId="57B6CDA4" w14:textId="32C3B06F" w:rsidR="009C243E" w:rsidRPr="00F24643" w:rsidRDefault="00F24643" w:rsidP="006952B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</w:t>
            </w:r>
            <w:proofErr w:type="spell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</w:t>
            </w:r>
            <w:proofErr w:type="spell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2, H411</w:t>
            </w:r>
          </w:p>
        </w:tc>
      </w:tr>
      <w:tr w:rsidR="006667C9" w:rsidRPr="00E20C76" w14:paraId="67DCF119" w14:textId="77777777" w:rsidTr="00F64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0620" w:type="dxa"/>
            <w:gridSpan w:val="6"/>
            <w:vAlign w:val="center"/>
          </w:tcPr>
          <w:p w14:paraId="34EC49EE" w14:textId="77777777" w:rsidR="006667C9" w:rsidRPr="00E20C76" w:rsidRDefault="006667C9" w:rsidP="008F18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</w:t>
            </w:r>
            <w:proofErr w:type="gramStart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2008  je</w:t>
            </w:r>
            <w:proofErr w:type="gramEnd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uvedeno v Oddíle 16 tohoto bezpečnostního listu</w:t>
            </w:r>
          </w:p>
        </w:tc>
      </w:tr>
    </w:tbl>
    <w:p w14:paraId="221A2A6B" w14:textId="77777777" w:rsidR="00944999" w:rsidRPr="00E20C76" w:rsidRDefault="009449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F1234B" w:rsidRPr="00E20C76" w14:paraId="29F0609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0DA18A5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F1234B" w:rsidRPr="00E20C76" w14:paraId="4DCA0EE0" w14:textId="77777777" w:rsidTr="00A34A39">
        <w:tc>
          <w:tcPr>
            <w:tcW w:w="1158" w:type="dxa"/>
          </w:tcPr>
          <w:p w14:paraId="05B72561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390" w:type="dxa"/>
          </w:tcPr>
          <w:p w14:paraId="5E21B282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Popis první pomoci</w:t>
            </w:r>
          </w:p>
        </w:tc>
      </w:tr>
      <w:tr w:rsidR="00F1234B" w:rsidRPr="00E20C76" w14:paraId="694D99B7" w14:textId="77777777" w:rsidTr="00A34A39">
        <w:tc>
          <w:tcPr>
            <w:tcW w:w="1158" w:type="dxa"/>
          </w:tcPr>
          <w:p w14:paraId="5BA9858F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4.1.1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390" w:type="dxa"/>
          </w:tcPr>
          <w:p w14:paraId="1175A528" w14:textId="77777777" w:rsidR="00F1234B" w:rsidRPr="00E20C76" w:rsidRDefault="00F1234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F1234B" w:rsidRPr="00E20C76" w14:paraId="65BA217F" w14:textId="77777777" w:rsidTr="00A34A39">
        <w:tc>
          <w:tcPr>
            <w:tcW w:w="1158" w:type="dxa"/>
          </w:tcPr>
          <w:p w14:paraId="610EE56F" w14:textId="77777777" w:rsidR="00F1234B" w:rsidRPr="00E20C76" w:rsidRDefault="00F1234B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84B901" w14:textId="77777777" w:rsidR="00F1234B" w:rsidRPr="00E20C76" w:rsidRDefault="009B4104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Převléct si </w:t>
            </w:r>
            <w:r w:rsidR="00365854" w:rsidRPr="00E20C76">
              <w:rPr>
                <w:rFonts w:asciiTheme="minorHAnsi" w:hAnsiTheme="minorHAnsi" w:cstheme="minorHAnsi"/>
                <w:sz w:val="20"/>
                <w:szCs w:val="20"/>
              </w:rPr>
              <w:t>znečištěný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oděv a před opětovným použitím jej vyčistit.</w:t>
            </w:r>
          </w:p>
        </w:tc>
      </w:tr>
      <w:tr w:rsidR="00F1234B" w:rsidRPr="00E20C76" w14:paraId="32D6804A" w14:textId="77777777" w:rsidTr="00A34A39">
        <w:tc>
          <w:tcPr>
            <w:tcW w:w="1158" w:type="dxa"/>
          </w:tcPr>
          <w:p w14:paraId="30A3DF94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390" w:type="dxa"/>
          </w:tcPr>
          <w:p w14:paraId="19C4ED76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F1234B" w:rsidRPr="00E20C76" w14:paraId="07EF11B5" w14:textId="77777777" w:rsidTr="00A34A39">
        <w:tc>
          <w:tcPr>
            <w:tcW w:w="1158" w:type="dxa"/>
          </w:tcPr>
          <w:p w14:paraId="6A04681A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61AA9C0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Přerušte expozici, postiženého přemístěte ze zamořeného prostředí na vzduch, zajistěte tělesný a duševní klid. Nenechte postiženého prochladnout. Má-li dýchací potíže, vyhledejte lékařskou pomoc. </w:t>
            </w:r>
          </w:p>
        </w:tc>
      </w:tr>
      <w:tr w:rsidR="00F1234B" w:rsidRPr="00E20C76" w14:paraId="570E1E08" w14:textId="77777777" w:rsidTr="00A34A39">
        <w:tc>
          <w:tcPr>
            <w:tcW w:w="1158" w:type="dxa"/>
          </w:tcPr>
          <w:p w14:paraId="7986EFE4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390" w:type="dxa"/>
          </w:tcPr>
          <w:p w14:paraId="48AE054C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F1234B" w:rsidRPr="00E20C76" w14:paraId="7F878605" w14:textId="77777777" w:rsidTr="00A34A39">
        <w:tc>
          <w:tcPr>
            <w:tcW w:w="1158" w:type="dxa"/>
          </w:tcPr>
          <w:p w14:paraId="53A3088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08BD56D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Odstraňte kontaktní čočky</w:t>
            </w:r>
            <w:r w:rsidR="000B2C02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E20C76" w14:paraId="3E8DE179" w14:textId="77777777" w:rsidTr="00A34A39">
        <w:tc>
          <w:tcPr>
            <w:tcW w:w="1158" w:type="dxa"/>
          </w:tcPr>
          <w:p w14:paraId="0D2D5C57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390" w:type="dxa"/>
          </w:tcPr>
          <w:p w14:paraId="203C2616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F1234B" w:rsidRPr="00E20C76" w14:paraId="41F7A515" w14:textId="77777777" w:rsidTr="00A34A39">
        <w:tc>
          <w:tcPr>
            <w:tcW w:w="1158" w:type="dxa"/>
          </w:tcPr>
          <w:p w14:paraId="640FC3B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BD4E8E6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Postiženému svlékněte kontaminovaný oděv, postižené místo omyjte velkým množstvím vody </w:t>
            </w:r>
            <w:r w:rsidR="00365854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mýdlem.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E20C76" w14:paraId="3C9A0234" w14:textId="77777777" w:rsidTr="00A34A39">
        <w:tc>
          <w:tcPr>
            <w:tcW w:w="1158" w:type="dxa"/>
          </w:tcPr>
          <w:p w14:paraId="5484F530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390" w:type="dxa"/>
          </w:tcPr>
          <w:p w14:paraId="0BBF151F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F1234B" w:rsidRPr="00E20C76" w14:paraId="77C12B5A" w14:textId="77777777" w:rsidTr="00A34A39">
        <w:tc>
          <w:tcPr>
            <w:tcW w:w="1158" w:type="dxa"/>
          </w:tcPr>
          <w:p w14:paraId="7B536AB7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A31E8EA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Postiženého uklidněte a umístěte v teple. Neprodleně vyhledejte lékařskou pomoc a ukažte etiketu (štítek) výrobku nebo tento bezpečnostní list.</w:t>
            </w:r>
          </w:p>
        </w:tc>
      </w:tr>
      <w:tr w:rsidR="00F1234B" w:rsidRPr="00E20C76" w14:paraId="67BE2D4D" w14:textId="77777777" w:rsidTr="00A34A39">
        <w:tc>
          <w:tcPr>
            <w:tcW w:w="1158" w:type="dxa"/>
          </w:tcPr>
          <w:p w14:paraId="48A90D70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4.2</w:t>
            </w:r>
          </w:p>
        </w:tc>
        <w:tc>
          <w:tcPr>
            <w:tcW w:w="9390" w:type="dxa"/>
          </w:tcPr>
          <w:p w14:paraId="18755157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F77703" w:rsidRPr="00E20C76" w14:paraId="26E4EEBB" w14:textId="77777777" w:rsidTr="00A34A39">
        <w:tc>
          <w:tcPr>
            <w:tcW w:w="1158" w:type="dxa"/>
          </w:tcPr>
          <w:p w14:paraId="05DCD3BE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3B3E1AA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  <w:tr w:rsidR="00F77703" w:rsidRPr="00E20C76" w14:paraId="14FB7AF1" w14:textId="77777777" w:rsidTr="00A34A39">
        <w:tc>
          <w:tcPr>
            <w:tcW w:w="1158" w:type="dxa"/>
          </w:tcPr>
          <w:p w14:paraId="37A749B6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9390" w:type="dxa"/>
          </w:tcPr>
          <w:p w14:paraId="27C3936D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F77703" w:rsidRPr="00E20C76" w14:paraId="5087B15F" w14:textId="77777777" w:rsidTr="00A34A39">
        <w:tc>
          <w:tcPr>
            <w:tcW w:w="1158" w:type="dxa"/>
          </w:tcPr>
          <w:p w14:paraId="0EA827D3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40C8CF0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</w:tbl>
    <w:p w14:paraId="00AC6FB8" w14:textId="77777777" w:rsidR="00F1234B" w:rsidRPr="00E20C76" w:rsidRDefault="00F1234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18104080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2469007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pro hasební zásah</w:t>
            </w:r>
          </w:p>
        </w:tc>
      </w:tr>
      <w:tr w:rsidR="00D16C6B" w:rsidRPr="00E20C76" w14:paraId="775ADA0C" w14:textId="77777777" w:rsidTr="00A34A39">
        <w:tc>
          <w:tcPr>
            <w:tcW w:w="1158" w:type="dxa"/>
          </w:tcPr>
          <w:p w14:paraId="4287395B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5.1</w:t>
            </w:r>
          </w:p>
        </w:tc>
        <w:tc>
          <w:tcPr>
            <w:tcW w:w="9390" w:type="dxa"/>
          </w:tcPr>
          <w:p w14:paraId="58B01D24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Hasiva</w:t>
            </w:r>
          </w:p>
        </w:tc>
      </w:tr>
      <w:tr w:rsidR="00D16C6B" w:rsidRPr="00E20C76" w14:paraId="7FF78C55" w14:textId="77777777" w:rsidTr="00A34A39">
        <w:tc>
          <w:tcPr>
            <w:tcW w:w="1158" w:type="dxa"/>
          </w:tcPr>
          <w:p w14:paraId="736BF4BE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9390" w:type="dxa"/>
          </w:tcPr>
          <w:p w14:paraId="0F991CEE" w14:textId="77777777" w:rsidR="00D16C6B" w:rsidRPr="00E20C76" w:rsidRDefault="00D16C6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D16C6B" w:rsidRPr="00E20C76" w14:paraId="14263385" w14:textId="77777777" w:rsidTr="00A34A39">
        <w:tc>
          <w:tcPr>
            <w:tcW w:w="1158" w:type="dxa"/>
          </w:tcPr>
          <w:p w14:paraId="56CF89B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2E346F6" w14:textId="1CE1131C" w:rsidR="00D16C6B" w:rsidRPr="00E20C76" w:rsidRDefault="00EA3DA7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Použijte metody vhodné pro okolní podmínky</w:t>
            </w:r>
          </w:p>
        </w:tc>
      </w:tr>
      <w:tr w:rsidR="00D16C6B" w:rsidRPr="00E20C76" w14:paraId="01290826" w14:textId="77777777" w:rsidTr="00A34A39">
        <w:tc>
          <w:tcPr>
            <w:tcW w:w="1158" w:type="dxa"/>
          </w:tcPr>
          <w:p w14:paraId="18933B61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9390" w:type="dxa"/>
          </w:tcPr>
          <w:p w14:paraId="6359A558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D16C6B" w:rsidRPr="00E20C76" w14:paraId="1798A93D" w14:textId="77777777" w:rsidTr="00A34A39">
        <w:tc>
          <w:tcPr>
            <w:tcW w:w="1158" w:type="dxa"/>
          </w:tcPr>
          <w:p w14:paraId="1E2A51DA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92ECF0" w14:textId="77777777" w:rsidR="00D16C6B" w:rsidRPr="00E20C76" w:rsidRDefault="00BA4DA0" w:rsidP="00BA4D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Plný proud vody.</w:t>
            </w:r>
          </w:p>
        </w:tc>
      </w:tr>
      <w:tr w:rsidR="00D16C6B" w:rsidRPr="00E20C76" w14:paraId="6DB33421" w14:textId="77777777" w:rsidTr="00A34A39">
        <w:tc>
          <w:tcPr>
            <w:tcW w:w="1158" w:type="dxa"/>
          </w:tcPr>
          <w:p w14:paraId="56A1567C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5.2</w:t>
            </w:r>
          </w:p>
        </w:tc>
        <w:tc>
          <w:tcPr>
            <w:tcW w:w="9390" w:type="dxa"/>
          </w:tcPr>
          <w:p w14:paraId="067FBE4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D16C6B" w:rsidRPr="00E20C76" w14:paraId="54C2C357" w14:textId="77777777" w:rsidTr="00A34A39">
        <w:tc>
          <w:tcPr>
            <w:tcW w:w="1158" w:type="dxa"/>
          </w:tcPr>
          <w:p w14:paraId="0EE3D8BE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4C5D680" w14:textId="22DE9CE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zahřívání nebo v případě požáru je možná tvorba toxických plynů.</w:t>
            </w:r>
          </w:p>
        </w:tc>
      </w:tr>
      <w:tr w:rsidR="00D16C6B" w:rsidRPr="00E20C76" w14:paraId="32B78B31" w14:textId="77777777" w:rsidTr="00A34A39">
        <w:tc>
          <w:tcPr>
            <w:tcW w:w="1158" w:type="dxa"/>
          </w:tcPr>
          <w:p w14:paraId="4ECCCE7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5.3</w:t>
            </w:r>
          </w:p>
        </w:tc>
        <w:tc>
          <w:tcPr>
            <w:tcW w:w="9390" w:type="dxa"/>
          </w:tcPr>
          <w:p w14:paraId="2218F68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hasiče:</w:t>
            </w:r>
          </w:p>
        </w:tc>
      </w:tr>
      <w:tr w:rsidR="00D16C6B" w:rsidRPr="00E20C76" w14:paraId="57F41090" w14:textId="77777777" w:rsidTr="00A34A39">
        <w:tc>
          <w:tcPr>
            <w:tcW w:w="1158" w:type="dxa"/>
          </w:tcPr>
          <w:p w14:paraId="466395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57D0349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požáru používejte vhodnou ochranu dýchadel (izolační přístroj)</w:t>
            </w:r>
          </w:p>
        </w:tc>
      </w:tr>
      <w:tr w:rsidR="00BA4DA0" w:rsidRPr="00E20C76" w14:paraId="30E84C08" w14:textId="77777777" w:rsidTr="00A34A39">
        <w:tc>
          <w:tcPr>
            <w:tcW w:w="1158" w:type="dxa"/>
          </w:tcPr>
          <w:p w14:paraId="492C46B1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5.4</w:t>
            </w:r>
          </w:p>
        </w:tc>
        <w:tc>
          <w:tcPr>
            <w:tcW w:w="9390" w:type="dxa"/>
          </w:tcPr>
          <w:p w14:paraId="42A0E119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informace:</w:t>
            </w:r>
          </w:p>
        </w:tc>
      </w:tr>
      <w:tr w:rsidR="00BA4DA0" w:rsidRPr="00E20C76" w14:paraId="71255BA9" w14:textId="77777777" w:rsidTr="00A34A39">
        <w:tc>
          <w:tcPr>
            <w:tcW w:w="1158" w:type="dxa"/>
          </w:tcPr>
          <w:p w14:paraId="5AB9A17A" w14:textId="77777777" w:rsidR="00BA4DA0" w:rsidRPr="00E20C76" w:rsidRDefault="00BA4DA0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C01EE71" w14:textId="426A76EF" w:rsidR="00BA4DA0" w:rsidRPr="00E20C76" w:rsidRDefault="00073B85" w:rsidP="002D4A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Nevdechujte výpary a zplodiny. Koordinujte hasicí opatření s okolím požáru. Pokud je to možné, přemístěte nepoškozené nádoby z bezprostředně nebezpečné oblasti. Při aplikaci oxidu uhličitého v uzavřených prostorách buďte opatrní. Oxid uhličitý může vytlačovat kyslík. K ochraně osob a k ochlazení ohrožených nádob použijte proud vody. Kontaminovanou vodu použitou k hašení shromažďujte odděleně. Nedovolte vniknutí do kanalizace nebo povrchových vod.</w:t>
            </w:r>
          </w:p>
        </w:tc>
      </w:tr>
    </w:tbl>
    <w:p w14:paraId="413A50E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0BB72DA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53EF7D9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v případě náhodném úniku</w:t>
            </w:r>
          </w:p>
        </w:tc>
      </w:tr>
      <w:tr w:rsidR="00D16C6B" w:rsidRPr="00E20C76" w14:paraId="22B795E2" w14:textId="77777777" w:rsidTr="00A34A39">
        <w:tc>
          <w:tcPr>
            <w:tcW w:w="1158" w:type="dxa"/>
          </w:tcPr>
          <w:p w14:paraId="0D602AC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390" w:type="dxa"/>
          </w:tcPr>
          <w:p w14:paraId="3D55E17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E20C76" w14:paraId="6B5D392B" w14:textId="77777777" w:rsidTr="00A34A39">
        <w:tc>
          <w:tcPr>
            <w:tcW w:w="1158" w:type="dxa"/>
          </w:tcPr>
          <w:p w14:paraId="77FDB80B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B8A7FFF" w14:textId="5E68C31A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Používejte osobní ochranné prostředky. Odveďte osoby do bezpečí. Zajistěte dostatečné větrání. Používejte vhodnou ochranu dýchacích cest.</w:t>
            </w:r>
          </w:p>
        </w:tc>
      </w:tr>
      <w:tr w:rsidR="00D16C6B" w:rsidRPr="00E20C76" w14:paraId="5F721C35" w14:textId="77777777" w:rsidTr="00A34A39">
        <w:tc>
          <w:tcPr>
            <w:tcW w:w="1158" w:type="dxa"/>
          </w:tcPr>
          <w:p w14:paraId="72671729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9390" w:type="dxa"/>
          </w:tcPr>
          <w:p w14:paraId="77F07980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E20C76" w14:paraId="611FA3BA" w14:textId="77777777" w:rsidTr="00A34A39">
        <w:tc>
          <w:tcPr>
            <w:tcW w:w="1158" w:type="dxa"/>
          </w:tcPr>
          <w:p w14:paraId="37B10F12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E9BFC02" w14:textId="3B13D3C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Zajistěte, aby byl odpad sesbírán a zachycen. Úniky nebo rozlité tekutiny zachyťte ve skříních pomocí vyjímatelných tácků.</w:t>
            </w:r>
          </w:p>
        </w:tc>
      </w:tr>
      <w:tr w:rsidR="00D16C6B" w:rsidRPr="00E20C76" w14:paraId="6BC9F848" w14:textId="77777777" w:rsidTr="00A34A39">
        <w:tc>
          <w:tcPr>
            <w:tcW w:w="1158" w:type="dxa"/>
          </w:tcPr>
          <w:p w14:paraId="15D90FF5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4345E75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E20C76" w14:paraId="084C89B3" w14:textId="77777777" w:rsidTr="00A34A39">
        <w:tc>
          <w:tcPr>
            <w:tcW w:w="1158" w:type="dxa"/>
          </w:tcPr>
          <w:p w14:paraId="3E46DB04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F4D01D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Kontaminovanou oblast zakryjte vlhkou zeminou nebo pískem a nechejte alespoň 30 minut reagovat. Pak mechanicky odstraňte.</w:t>
            </w:r>
          </w:p>
        </w:tc>
      </w:tr>
      <w:tr w:rsidR="00D16C6B" w:rsidRPr="00E20C76" w14:paraId="193A4EDE" w14:textId="77777777" w:rsidTr="00A34A39">
        <w:tc>
          <w:tcPr>
            <w:tcW w:w="1158" w:type="dxa"/>
          </w:tcPr>
          <w:p w14:paraId="7B4B3D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107FFDD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Odkaz na jiné oddíly</w:t>
            </w:r>
          </w:p>
        </w:tc>
      </w:tr>
      <w:tr w:rsidR="00D16C6B" w:rsidRPr="00E20C76" w14:paraId="3BB11580" w14:textId="77777777" w:rsidTr="00A34A39">
        <w:tc>
          <w:tcPr>
            <w:tcW w:w="1158" w:type="dxa"/>
          </w:tcPr>
          <w:p w14:paraId="6CF056B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147F9CF" w14:textId="296ABDFA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Se sebraným materiálem zacházejte dle pokynů v části o likvidaci odpadu. Shromážděte v uzavřených a vhodných nádobách k likvidaci. Kontaminované předměty a oblasti důkladně očistěte při dodržování předpisů na ochranu životního prostředí. Zasažené oblasti vyvětrejte. Absorbujte pomocí materiálu vázajícího kapaliny (např. písek, křemelina, kyselinové nebo univerzální pojivo).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Otřete savým materiálem (např. hadříkem, netkanou textilií).</w:t>
            </w:r>
          </w:p>
          <w:p w14:paraId="5B3C846C" w14:textId="7DA15507" w:rsidR="00D16C6B" w:rsidRPr="00E20C76" w:rsidRDefault="00D16C6B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Dále viz Oddíly 7, 8 a 13</w:t>
            </w:r>
          </w:p>
        </w:tc>
      </w:tr>
    </w:tbl>
    <w:p w14:paraId="1392A96B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74302712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C7A2025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7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E20C76" w14:paraId="0596952F" w14:textId="77777777" w:rsidTr="00A34A39">
        <w:tc>
          <w:tcPr>
            <w:tcW w:w="1158" w:type="dxa"/>
          </w:tcPr>
          <w:p w14:paraId="7657D2A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9390" w:type="dxa"/>
          </w:tcPr>
          <w:p w14:paraId="223926E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E20C76" w14:paraId="177E3F66" w14:textId="77777777" w:rsidTr="00A34A39">
        <w:tc>
          <w:tcPr>
            <w:tcW w:w="1158" w:type="dxa"/>
          </w:tcPr>
          <w:p w14:paraId="7CE5EC0F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9E004D" w14:textId="7BB2C437" w:rsidR="00D16C6B" w:rsidRPr="00E20C76" w:rsidRDefault="00EA3DA7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Nejsou nutná žádná zvláštní opatření.</w:t>
            </w:r>
          </w:p>
        </w:tc>
      </w:tr>
      <w:tr w:rsidR="00D16C6B" w:rsidRPr="00E20C76" w14:paraId="4B2F6C1E" w14:textId="77777777" w:rsidTr="00A34A39">
        <w:tc>
          <w:tcPr>
            <w:tcW w:w="1158" w:type="dxa"/>
          </w:tcPr>
          <w:p w14:paraId="6152F316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390" w:type="dxa"/>
          </w:tcPr>
          <w:p w14:paraId="46447453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E20C76" w14:paraId="19EEFC7F" w14:textId="77777777" w:rsidTr="00A34A39">
        <w:tc>
          <w:tcPr>
            <w:tcW w:w="1158" w:type="dxa"/>
          </w:tcPr>
          <w:p w14:paraId="75539E2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CC5AED9" w14:textId="4DFDDDCD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Zabraňte kontaktu s kůží, očima a oděvem. </w:t>
            </w:r>
          </w:p>
          <w:p w14:paraId="104FF286" w14:textId="1F32D159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Používejte osobní ochranné oděvy (viz oddíl 8). Kanalizace a potrubí musí být chráněny před vniknutím produktu. Zajistěte dostatečné větrání a také lokální odsávání na kritických místech. Zabraňte vdechování plynu/výparů/par/sprejů. </w:t>
            </w:r>
          </w:p>
          <w:p w14:paraId="385C4036" w14:textId="77777777" w:rsidR="00073B85" w:rsidRPr="00E20C76" w:rsidRDefault="00073B85" w:rsidP="000B2C0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Pokyny pro obecnou hygienu práce: </w:t>
            </w:r>
          </w:p>
          <w:p w14:paraId="23E8180A" w14:textId="425B9207" w:rsidR="00D16C6B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 přestávkami a po práci si umyjte ruce. Ihned svlékněte kontaminovaný, nasáklý oděv. </w:t>
            </w:r>
          </w:p>
        </w:tc>
      </w:tr>
      <w:tr w:rsidR="00D16C6B" w:rsidRPr="00E20C76" w14:paraId="5F46A8AF" w14:textId="77777777" w:rsidTr="0007398F">
        <w:trPr>
          <w:trHeight w:val="251"/>
        </w:trPr>
        <w:tc>
          <w:tcPr>
            <w:tcW w:w="1158" w:type="dxa"/>
            <w:vAlign w:val="bottom"/>
          </w:tcPr>
          <w:p w14:paraId="3E88062E" w14:textId="77777777" w:rsidR="00D16C6B" w:rsidRPr="00E20C76" w:rsidRDefault="00D16C6B" w:rsidP="0007398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9390" w:type="dxa"/>
            <w:vAlign w:val="bottom"/>
          </w:tcPr>
          <w:p w14:paraId="0361F027" w14:textId="77777777" w:rsidR="00D16C6B" w:rsidRPr="00E20C76" w:rsidRDefault="00D16C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 pro bezpečné skladování látek a směsí včetně neslučitelných látek a směsí</w:t>
            </w:r>
            <w:r w:rsidR="00395D00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16C6B" w:rsidRPr="00E20C76" w14:paraId="65BAB96D" w14:textId="77777777" w:rsidTr="0007398F">
        <w:tc>
          <w:tcPr>
            <w:tcW w:w="1158" w:type="dxa"/>
          </w:tcPr>
          <w:p w14:paraId="34C23B55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1AC78B7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Produkt musí být skladován řádně, uzavřený a nepoškozený v původním obalu. Měl by být skladován při teplotě 15–25 °C a mimo dosah přímého slunečního záření. Směsi se v zásadě mohou usazovat a oddělovat, a proto je nutné je před použitím promíchat nebo protřepat. ·</w:t>
            </w:r>
          </w:p>
          <w:p w14:paraId="502A4934" w14:textId="1798882A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Požadavky na skladovací prostory a nádoby: </w:t>
            </w:r>
          </w:p>
          <w:p w14:paraId="00AE6F05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65D9A6ED" w14:textId="7BD6F629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Pokyny pro společné skladování: </w:t>
            </w:r>
          </w:p>
          <w:p w14:paraId="6A83831C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7F5B017A" w14:textId="3CCEF46B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Další informace o skladovacích podmínkách: </w:t>
            </w:r>
          </w:p>
          <w:p w14:paraId="10BE0B0D" w14:textId="2F9F2FFC" w:rsidR="002C49A4" w:rsidRPr="00E20C76" w:rsidRDefault="00EA3DA7" w:rsidP="000B2C02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</w:tc>
      </w:tr>
      <w:tr w:rsidR="00D16C6B" w:rsidRPr="00E20C76" w14:paraId="2B67E458" w14:textId="77777777" w:rsidTr="00A34A39">
        <w:tc>
          <w:tcPr>
            <w:tcW w:w="1158" w:type="dxa"/>
          </w:tcPr>
          <w:p w14:paraId="4768844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7.3</w:t>
            </w:r>
          </w:p>
        </w:tc>
        <w:tc>
          <w:tcPr>
            <w:tcW w:w="9390" w:type="dxa"/>
          </w:tcPr>
          <w:p w14:paraId="0FA7976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D16C6B" w:rsidRPr="00E20C76" w14:paraId="08A843EF" w14:textId="77777777" w:rsidTr="00A34A39">
        <w:tc>
          <w:tcPr>
            <w:tcW w:w="1158" w:type="dxa"/>
          </w:tcPr>
          <w:p w14:paraId="4BAFD7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3FCE9F6" w14:textId="2AF05CA7" w:rsidR="00D16C6B" w:rsidRPr="00E20C76" w:rsidRDefault="00073B85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Kromě použití uvedených v oddíle 1.2 nejsou stanovena žádná další specifická použití.</w:t>
            </w:r>
          </w:p>
        </w:tc>
      </w:tr>
    </w:tbl>
    <w:p w14:paraId="3A42D8D4" w14:textId="77777777" w:rsidR="00E10DF7" w:rsidRPr="00E20C76" w:rsidRDefault="00E10DF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1101"/>
        <w:gridCol w:w="57"/>
        <w:gridCol w:w="30"/>
        <w:gridCol w:w="1080"/>
        <w:gridCol w:w="512"/>
        <w:gridCol w:w="2040"/>
        <w:gridCol w:w="1384"/>
        <w:gridCol w:w="383"/>
        <w:gridCol w:w="3961"/>
      </w:tblGrid>
      <w:tr w:rsidR="00D16C6B" w:rsidRPr="00E20C76" w14:paraId="5899EEF0" w14:textId="77777777" w:rsidTr="000B2C02">
        <w:trPr>
          <w:trHeight w:val="447"/>
        </w:trPr>
        <w:tc>
          <w:tcPr>
            <w:tcW w:w="10582" w:type="dxa"/>
            <w:gridSpan w:val="10"/>
            <w:shd w:val="clear" w:color="auto" w:fill="E0E0E0"/>
            <w:vAlign w:val="center"/>
          </w:tcPr>
          <w:p w14:paraId="31850EEA" w14:textId="1A1B7FBA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 xml:space="preserve">oddíl 8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E20C76" w14:paraId="2C74E761" w14:textId="77777777" w:rsidTr="000B2C02">
        <w:tc>
          <w:tcPr>
            <w:tcW w:w="1192" w:type="dxa"/>
            <w:gridSpan w:val="3"/>
          </w:tcPr>
          <w:p w14:paraId="247055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</w:t>
            </w:r>
          </w:p>
        </w:tc>
        <w:tc>
          <w:tcPr>
            <w:tcW w:w="9390" w:type="dxa"/>
            <w:gridSpan w:val="7"/>
          </w:tcPr>
          <w:p w14:paraId="0489906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Kontrolní parametry</w:t>
            </w:r>
          </w:p>
        </w:tc>
      </w:tr>
      <w:tr w:rsidR="000B2C02" w:rsidRPr="00E20C76" w14:paraId="67EB0885" w14:textId="77777777" w:rsidTr="000B2C02">
        <w:tc>
          <w:tcPr>
            <w:tcW w:w="1192" w:type="dxa"/>
            <w:gridSpan w:val="3"/>
          </w:tcPr>
          <w:p w14:paraId="1BDD3DAC" w14:textId="77777777" w:rsidR="000B2C02" w:rsidRPr="00E20C76" w:rsidRDefault="000B2C0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8.1.1</w:t>
            </w:r>
          </w:p>
        </w:tc>
        <w:tc>
          <w:tcPr>
            <w:tcW w:w="9390" w:type="dxa"/>
            <w:gridSpan w:val="7"/>
          </w:tcPr>
          <w:p w14:paraId="1193A343" w14:textId="77777777" w:rsidR="000B2C02" w:rsidRPr="00E20C76" w:rsidRDefault="000B2C02" w:rsidP="000B2C0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E20C76" w14:paraId="6B52DB37" w14:textId="77777777" w:rsidTr="000B2C02"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3EB2C596" w14:textId="77777777" w:rsidR="00BA4DA0" w:rsidRPr="00E20C76" w:rsidRDefault="00D16C6B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nejvyšší přípustný expoziční limit=PEL; nejvyšší přípustná koncentrace v pracovním ovzduší</w:t>
            </w:r>
            <w:r w:rsidR="000B2C02" w:rsidRPr="00E20C76">
              <w:rPr>
                <w:rFonts w:asciiTheme="minorHAnsi" w:hAnsiTheme="minorHAnsi" w:cstheme="minorHAnsi"/>
              </w:rPr>
              <w:t>=NPK-P</w:t>
            </w:r>
          </w:p>
        </w:tc>
      </w:tr>
      <w:tr w:rsidR="000B2C02" w:rsidRPr="00E20C76" w14:paraId="63A9B89A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64B0B102" w14:textId="77777777" w:rsidR="000B2C02" w:rsidRPr="00E20C76" w:rsidRDefault="000B2C02" w:rsidP="004076BE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9838672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5C9B2C1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PEL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55DB932B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NPK-P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B2C02" w:rsidRPr="00E20C76" w14:paraId="35337EB9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011BDFF0" w14:textId="2F86A6EF" w:rsidR="000B2C02" w:rsidRPr="00E20C76" w:rsidRDefault="000B2C02" w:rsidP="004076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56AB48F" w14:textId="79CC5931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99D9889" w14:textId="46C7CB3A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7DF182CA" w14:textId="7B960EEE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2377538D" w14:textId="77777777" w:rsidTr="00C26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268DA81E" w14:textId="5452553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- dráždí</w:t>
            </w:r>
            <w:proofErr w:type="gramEnd"/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sliznice (oči, dýchací cesty) resp. kůži</w:t>
            </w:r>
          </w:p>
        </w:tc>
      </w:tr>
      <w:tr w:rsidR="00073B85" w:rsidRPr="00E20C76" w14:paraId="1DB38425" w14:textId="77777777" w:rsidTr="000B2C02">
        <w:tc>
          <w:tcPr>
            <w:tcW w:w="1135" w:type="dxa"/>
            <w:gridSpan w:val="2"/>
          </w:tcPr>
          <w:p w14:paraId="139160B1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8.1.2</w:t>
            </w:r>
          </w:p>
        </w:tc>
        <w:tc>
          <w:tcPr>
            <w:tcW w:w="9447" w:type="dxa"/>
            <w:gridSpan w:val="8"/>
          </w:tcPr>
          <w:p w14:paraId="4B3725D7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dle evropské směrnice č. 2000/39/ES</w:t>
            </w:r>
          </w:p>
        </w:tc>
      </w:tr>
      <w:tr w:rsidR="00073B85" w:rsidRPr="00E20C76" w14:paraId="299623EF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tcBorders>
              <w:bottom w:val="single" w:sz="4" w:space="0" w:color="auto"/>
            </w:tcBorders>
          </w:tcPr>
          <w:p w14:paraId="0AE14D85" w14:textId="7777777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067A52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2336DD9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 h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0ADF0A2D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krátkodobě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73B85" w:rsidRPr="00E20C76" w14:paraId="6E27743A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vAlign w:val="center"/>
          </w:tcPr>
          <w:p w14:paraId="7FED5B84" w14:textId="43376F08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40" w:type="dxa"/>
            <w:vAlign w:val="center"/>
          </w:tcPr>
          <w:p w14:paraId="4FDCD309" w14:textId="7031D7F9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598D250" w14:textId="48C95E42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32C9434B" w14:textId="5BBEFBA9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13DBAC9F" w14:textId="77777777" w:rsidTr="000B2C02">
        <w:tc>
          <w:tcPr>
            <w:tcW w:w="1135" w:type="dxa"/>
            <w:gridSpan w:val="2"/>
          </w:tcPr>
          <w:p w14:paraId="7BCF8251" w14:textId="6DD450C5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8.1.3</w:t>
            </w:r>
          </w:p>
        </w:tc>
        <w:tc>
          <w:tcPr>
            <w:tcW w:w="9447" w:type="dxa"/>
            <w:gridSpan w:val="8"/>
          </w:tcPr>
          <w:p w14:paraId="62C75383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Hodnoty DNEL a PNEC</w:t>
            </w:r>
          </w:p>
        </w:tc>
      </w:tr>
      <w:tr w:rsidR="00073B85" w:rsidRPr="00E20C76" w14:paraId="1991F367" w14:textId="77777777" w:rsidTr="000B2C02">
        <w:tc>
          <w:tcPr>
            <w:tcW w:w="1135" w:type="dxa"/>
            <w:gridSpan w:val="2"/>
          </w:tcPr>
          <w:p w14:paraId="6D7A160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47" w:type="dxa"/>
            <w:gridSpan w:val="8"/>
          </w:tcPr>
          <w:p w14:paraId="7FAC8C5E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Hodnoty pro směs nejsou k dispozici</w:t>
            </w:r>
          </w:p>
        </w:tc>
      </w:tr>
      <w:tr w:rsidR="00073B85" w:rsidRPr="00E20C76" w14:paraId="445AF1E1" w14:textId="77777777" w:rsidTr="000B2C02">
        <w:trPr>
          <w:gridBefore w:val="1"/>
          <w:wBefore w:w="34" w:type="dxa"/>
          <w:trHeight w:val="253"/>
        </w:trPr>
        <w:tc>
          <w:tcPr>
            <w:tcW w:w="10548" w:type="dxa"/>
            <w:gridSpan w:val="9"/>
          </w:tcPr>
          <w:p w14:paraId="0F3376A3" w14:textId="77777777" w:rsidR="00073B85" w:rsidRPr="00E20C76" w:rsidRDefault="00073B85" w:rsidP="00073B85">
            <w:pPr>
              <w:pStyle w:val="Zhlav"/>
              <w:tabs>
                <w:tab w:val="clear" w:pos="4536"/>
                <w:tab w:val="clear" w:pos="9072"/>
                <w:tab w:val="right" w:pos="84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Jako výchozí informace byly použity seznamy platné v době zpracovávání.</w:t>
            </w:r>
          </w:p>
        </w:tc>
      </w:tr>
      <w:tr w:rsidR="00073B85" w:rsidRPr="00E20C76" w14:paraId="46D7EA8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FFE1416" w14:textId="6F2CB13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9360" w:type="dxa"/>
            <w:gridSpan w:val="6"/>
          </w:tcPr>
          <w:p w14:paraId="0155778C" w14:textId="7777777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Expoziční scénáře</w:t>
            </w:r>
          </w:p>
        </w:tc>
      </w:tr>
      <w:tr w:rsidR="00073B85" w:rsidRPr="00E20C76" w14:paraId="770EC9BC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44D57D8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62FE91E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současné době nejsou zpracovány</w:t>
            </w:r>
          </w:p>
        </w:tc>
      </w:tr>
      <w:tr w:rsidR="00073B85" w:rsidRPr="00E20C76" w14:paraId="6D996B9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D5E2716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8.2</w:t>
            </w:r>
          </w:p>
        </w:tc>
        <w:tc>
          <w:tcPr>
            <w:tcW w:w="9360" w:type="dxa"/>
            <w:gridSpan w:val="6"/>
          </w:tcPr>
          <w:p w14:paraId="700E3F25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</w:t>
            </w:r>
          </w:p>
        </w:tc>
      </w:tr>
      <w:tr w:rsidR="00073B85" w:rsidRPr="00E20C76" w14:paraId="1BF3282A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1C0A711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9360" w:type="dxa"/>
            <w:gridSpan w:val="6"/>
          </w:tcPr>
          <w:p w14:paraId="46D607B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Vhodné technické kontroly</w:t>
            </w:r>
          </w:p>
        </w:tc>
      </w:tr>
      <w:tr w:rsidR="00073B85" w:rsidRPr="00E20C76" w14:paraId="62887D35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A589292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12FBD78A" w14:textId="77777777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 xml:space="preserve">Žádné zvláštní prostředky nejsou vyžadovány za předpokladu, že se s výrobkem zachází ve shodě s obecnými zásadami hygieny a bezpečnosti obyvatel. Doporučuje se používat produkt na dobře větraných místech. </w:t>
            </w:r>
          </w:p>
        </w:tc>
      </w:tr>
      <w:tr w:rsidR="00073B85" w:rsidRPr="00E20C76" w14:paraId="03280C4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9383D5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9360" w:type="dxa"/>
            <w:gridSpan w:val="6"/>
          </w:tcPr>
          <w:p w14:paraId="6D94DE7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Individuální ochranná opatření včetně osobních ochranných prostředků</w:t>
            </w:r>
          </w:p>
        </w:tc>
      </w:tr>
      <w:tr w:rsidR="00073B85" w:rsidRPr="00E20C76" w14:paraId="16180BB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26B890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6273F8AE" w14:textId="6A40E70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Užívané osobní ochranné prostředky musí být v souladu s nařízením vlády 390/2021 Sb. (ve smyslu Nařízení (EU) 2016/425 a dále Směrnice komise (EU) 2019/1832).</w:t>
            </w:r>
          </w:p>
        </w:tc>
      </w:tr>
      <w:tr w:rsidR="00073B85" w:rsidRPr="00E20C76" w14:paraId="73D65EE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38669E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8.2.2.1</w:t>
            </w:r>
          </w:p>
        </w:tc>
        <w:tc>
          <w:tcPr>
            <w:tcW w:w="9360" w:type="dxa"/>
            <w:gridSpan w:val="6"/>
          </w:tcPr>
          <w:p w14:paraId="4698ED5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Obecná hygienická a ochranná opatření:</w:t>
            </w:r>
          </w:p>
        </w:tc>
      </w:tr>
      <w:tr w:rsidR="00073B85" w:rsidRPr="00E20C76" w14:paraId="476ACFA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203892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5CB170B6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práci s výrobkem nejezte, nepijte, nekuřte. Zamezte potřísnění očí a kůže. Před přestávkami si umyjte ruce. Zabraňte zasažení očí.</w:t>
            </w:r>
          </w:p>
          <w:p w14:paraId="1E3DE444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Zabraňte delšímu a/nebo opakovanému kontaktu s kůží.</w:t>
            </w:r>
          </w:p>
        </w:tc>
      </w:tr>
      <w:tr w:rsidR="00073B85" w:rsidRPr="00E20C76" w14:paraId="195ED3F8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7AC45E7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8.2.2.2</w:t>
            </w:r>
          </w:p>
        </w:tc>
        <w:tc>
          <w:tcPr>
            <w:tcW w:w="9360" w:type="dxa"/>
            <w:gridSpan w:val="6"/>
          </w:tcPr>
          <w:p w14:paraId="570296C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při dýchání</w:t>
            </w:r>
          </w:p>
        </w:tc>
      </w:tr>
      <w:tr w:rsidR="00073B85" w:rsidRPr="00E20C76" w14:paraId="2F29551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5F680B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C17E551" w14:textId="77777777" w:rsidR="00073B85" w:rsidRPr="00E20C76" w:rsidRDefault="00073B85" w:rsidP="00073B85">
            <w:pPr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Při dobrém větrání není nutná.</w:t>
            </w:r>
          </w:p>
          <w:p w14:paraId="3CB60D4F" w14:textId="641EC928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Pro krátkodobou nebo nízkou expozici použijte dýchací filtr; v případě intenzivní nebo dlouhodobé expozice použijte izolační dýchací přístroj.</w:t>
            </w:r>
          </w:p>
        </w:tc>
      </w:tr>
      <w:tr w:rsidR="00073B85" w:rsidRPr="00E20C76" w14:paraId="0CCC93F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FB1E81C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8.2.2.3</w:t>
            </w:r>
          </w:p>
        </w:tc>
        <w:tc>
          <w:tcPr>
            <w:tcW w:w="9360" w:type="dxa"/>
            <w:gridSpan w:val="6"/>
          </w:tcPr>
          <w:p w14:paraId="4722601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rukou</w:t>
            </w:r>
          </w:p>
        </w:tc>
      </w:tr>
      <w:tr w:rsidR="00073B85" w:rsidRPr="00E20C76" w14:paraId="782F8C8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1F5452A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0F2A84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Ochranné rukavice.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materiál rukavic: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Výběr vhodných rukavic závisí nejen na materiálu, ale také na dalších kvalitativních vlastnostech a liší se v závislosti na výrobci.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Pozitivní zkušenosti byly získány s butylovými rukavicemi. Při prvních známkách opotřebení je třeba ochranné rukavice vyměnit.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Doba průniku materiálem rukavic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Přesný čas průniku nutno zjistit u výrobce ochranných rukavic a dodržovat jej.</w:t>
            </w:r>
          </w:p>
        </w:tc>
      </w:tr>
      <w:tr w:rsidR="00073B85" w:rsidRPr="00E20C76" w14:paraId="7AC74B3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33003B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8.2.2.4</w:t>
            </w:r>
          </w:p>
        </w:tc>
        <w:tc>
          <w:tcPr>
            <w:tcW w:w="9360" w:type="dxa"/>
            <w:gridSpan w:val="6"/>
          </w:tcPr>
          <w:p w14:paraId="740B910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očí</w:t>
            </w:r>
          </w:p>
        </w:tc>
      </w:tr>
      <w:tr w:rsidR="00073B85" w:rsidRPr="00E20C76" w14:paraId="50EED91F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4A9DC4D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21944A3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Těsně přiléhající ochranné brýle</w:t>
            </w:r>
          </w:p>
        </w:tc>
      </w:tr>
      <w:tr w:rsidR="00073B85" w:rsidRPr="00E20C76" w14:paraId="028C0F7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760C514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8.2.2.5</w:t>
            </w:r>
          </w:p>
        </w:tc>
        <w:tc>
          <w:tcPr>
            <w:tcW w:w="9360" w:type="dxa"/>
            <w:gridSpan w:val="6"/>
          </w:tcPr>
          <w:p w14:paraId="5196000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kůže (celého těla):</w:t>
            </w:r>
          </w:p>
        </w:tc>
      </w:tr>
      <w:tr w:rsidR="00073B85" w:rsidRPr="00E20C76" w14:paraId="28074AC4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239486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A9B75E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Lehký pracovní ochranný oděv;</w:t>
            </w:r>
          </w:p>
          <w:p w14:paraId="390711A2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Svlékněte zašpiněný nebo potřísněný oděv, před opětným použitím oděv vyperte. Po práci si omyjte ruce teplou vodou a mýdlem a pokožku ošetřete vhodnými reparačními prostředky.</w:t>
            </w:r>
          </w:p>
          <w:p w14:paraId="5F3C5149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Nenoste výrobkem znečištěné hadry nebo jiné znečištěné čistící nebo ochranné prostředky po kapsách.</w:t>
            </w:r>
          </w:p>
        </w:tc>
      </w:tr>
      <w:tr w:rsidR="00073B85" w:rsidRPr="00E20C76" w14:paraId="089A54EB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ACC149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9360" w:type="dxa"/>
            <w:gridSpan w:val="6"/>
          </w:tcPr>
          <w:p w14:paraId="423F11C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Omezování expozice životního prostředí</w:t>
            </w:r>
          </w:p>
        </w:tc>
      </w:tr>
      <w:tr w:rsidR="00073B85" w:rsidRPr="00E20C76" w14:paraId="0A4C983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3B8696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4AF75F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běžném použití odpadá; zabraňte vniknutí do povrchových vodotečí a do kanalizace.</w:t>
            </w:r>
          </w:p>
        </w:tc>
      </w:tr>
    </w:tbl>
    <w:p w14:paraId="37790F0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1159"/>
        <w:gridCol w:w="198"/>
        <w:gridCol w:w="4455"/>
        <w:gridCol w:w="4741"/>
      </w:tblGrid>
      <w:tr w:rsidR="00574099" w:rsidRPr="00E20C76" w14:paraId="2BD6DBBB" w14:textId="77777777" w:rsidTr="00A921CE">
        <w:trPr>
          <w:trHeight w:val="447"/>
        </w:trPr>
        <w:tc>
          <w:tcPr>
            <w:tcW w:w="10553" w:type="dxa"/>
            <w:gridSpan w:val="4"/>
            <w:shd w:val="clear" w:color="auto" w:fill="E0E0E0"/>
            <w:vAlign w:val="center"/>
          </w:tcPr>
          <w:p w14:paraId="3A42B2EC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9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574099" w:rsidRPr="00E20C76" w14:paraId="60830BBB" w14:textId="77777777" w:rsidTr="00A921CE">
        <w:tc>
          <w:tcPr>
            <w:tcW w:w="1159" w:type="dxa"/>
            <w:tcBorders>
              <w:bottom w:val="single" w:sz="4" w:space="0" w:color="auto"/>
            </w:tcBorders>
          </w:tcPr>
          <w:p w14:paraId="6CB86029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784DECD1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A921CE" w:rsidRPr="00E20C76" w14:paraId="3A90BA98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CA4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bookmarkStart w:id="0" w:name="_Hlk120195138"/>
            <w:bookmarkStart w:id="1" w:name="_Hlk54262950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Skupenství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C58D" w14:textId="15F44271" w:rsidR="00A921CE" w:rsidRPr="00E20C76" w:rsidRDefault="00A921CE" w:rsidP="0013356C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Kapalina</w:t>
            </w:r>
          </w:p>
        </w:tc>
      </w:tr>
      <w:tr w:rsidR="00A921CE" w:rsidRPr="00E20C76" w14:paraId="19BB05D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32C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Barva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93389" w14:textId="00E69E8E" w:rsidR="00A921CE" w:rsidRPr="00E20C76" w:rsidRDefault="00F24643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modrá</w:t>
            </w:r>
          </w:p>
        </w:tc>
      </w:tr>
      <w:bookmarkEnd w:id="1"/>
      <w:tr w:rsidR="00EA3DA7" w:rsidRPr="00E20C76" w14:paraId="6B63D5B9" w14:textId="77777777" w:rsidTr="005257B0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E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Zápach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B8" w14:textId="32C0B6C1" w:rsidR="00EA3DA7" w:rsidRPr="00E20C76" w:rsidRDefault="00EA3DA7" w:rsidP="00EA3DA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36BE1BAA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3F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Prahová hodnota zápachu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B03" w14:textId="7A6BF292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13F9BB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00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tání/bod tuhnutí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DA7" w14:textId="6AD84E5F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825815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9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Bod varu nebo počáteční bod varu a rozmezí bodu varu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211" w14:textId="0B7A62B5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(voda destilovaná)</w:t>
            </w:r>
          </w:p>
        </w:tc>
      </w:tr>
      <w:tr w:rsidR="00EA3DA7" w:rsidRPr="00E20C76" w14:paraId="47CC2101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BF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Hořlavost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(plyny, kapaliny,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484" w14:textId="78A31E13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Vysoce hořlavá kapalina</w:t>
            </w:r>
          </w:p>
        </w:tc>
      </w:tr>
      <w:tr w:rsidR="00EA3DA7" w:rsidRPr="00E20C76" w14:paraId="0AA45D2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DEA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Dolní a horní mezní hodnota výbušnosti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CD" w14:textId="144BA740" w:rsid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0,9 %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(glycerol)</w:t>
            </w:r>
          </w:p>
          <w:p w14:paraId="0D261FF3" w14:textId="1BD96D67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19,1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(glycerol)</w:t>
            </w:r>
          </w:p>
        </w:tc>
      </w:tr>
      <w:tr w:rsidR="00EA3DA7" w:rsidRPr="00E20C76" w14:paraId="23BDDDA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3F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vzplanutí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plyny, aerosoly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6A8" w14:textId="6612B260" w:rsidR="00EA3DA7" w:rsidRPr="00F24643" w:rsidRDefault="00F24643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&gt;100 °C</w:t>
            </w:r>
          </w:p>
        </w:tc>
      </w:tr>
      <w:tr w:rsidR="00EA3DA7" w:rsidRPr="00E20C76" w14:paraId="40DE43AE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18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Teplota samovznícení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82C" w14:textId="3C914379" w:rsidR="00EA3DA7" w:rsidRPr="00F24643" w:rsidRDefault="00F24643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 w:hint="eastAsia"/>
                <w:sz w:val="20"/>
                <w:szCs w:val="20"/>
              </w:rPr>
              <w:t>≥</w:t>
            </w:r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130 °C (</w:t>
            </w:r>
            <w:proofErr w:type="gramStart"/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2-Pyrrolidinone</w:t>
            </w:r>
            <w:proofErr w:type="gramEnd"/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, 1-ethenyl-, homopolymer)</w:t>
            </w:r>
          </w:p>
        </w:tc>
      </w:tr>
      <w:tr w:rsidR="00EA3DA7" w:rsidRPr="00E20C76" w14:paraId="72A8D41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FE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Teplota rozkladu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F82" w14:textId="545EE42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F80010F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C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pH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18" w14:textId="42B44100" w:rsidR="00EA3DA7" w:rsidRPr="00E20C76" w:rsidRDefault="00F24643" w:rsidP="00EA3DA7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nestanoveno</w:t>
            </w:r>
          </w:p>
        </w:tc>
      </w:tr>
      <w:tr w:rsidR="00EA3DA7" w:rsidRPr="00E20C76" w14:paraId="6608011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EE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Kinematická viskozita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EE8" w14:textId="68250593" w:rsidR="00EA3DA7" w:rsidRPr="00EA3DA7" w:rsidRDefault="00F24643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EA3DA7" w:rsidRPr="00EA3DA7">
              <w:rPr>
                <w:rFonts w:asciiTheme="minorHAnsi" w:hAnsiTheme="minorHAnsi" w:cstheme="minorHAnsi"/>
                <w:sz w:val="20"/>
                <w:szCs w:val="20"/>
              </w:rPr>
              <w:t xml:space="preserve"> s (ISO 4 mm)</w:t>
            </w:r>
          </w:p>
        </w:tc>
      </w:tr>
      <w:tr w:rsidR="00EA3DA7" w:rsidRPr="00E20C76" w14:paraId="67E344B3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BC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Rozpustnost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BFD" w14:textId="3015337C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ve vodě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rozpustný</w:t>
            </w:r>
          </w:p>
        </w:tc>
      </w:tr>
      <w:tr w:rsidR="00EA3DA7" w:rsidRPr="00E20C76" w14:paraId="3C7A880B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54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Rozdělovací koeficient n-oktanol/voda </w:t>
            </w: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(logaritmická hodnota)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77" w14:textId="0E7877A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01C918F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28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Tlak páry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324" w14:textId="1B282D4F" w:rsidR="00EA3DA7" w:rsidRP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23 hPa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(voda destilovaná)</w:t>
            </w:r>
          </w:p>
        </w:tc>
      </w:tr>
      <w:tr w:rsidR="00EA3DA7" w:rsidRPr="00E20C76" w14:paraId="0469059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946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Hustota a/nebo relativní hustota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(kapaliny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17D" w14:textId="182E804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g/cm³</w:t>
            </w:r>
          </w:p>
        </w:tc>
      </w:tr>
      <w:tr w:rsidR="00EA3DA7" w:rsidRPr="00E20C76" w14:paraId="5FDBA49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8C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Relativní hustota páry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999" w14:textId="6B23227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1BD604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AB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Charakteristika částic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EEF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EA3DA7" w:rsidRPr="00E20C76" w14:paraId="7B94EE60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4E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Rychlost odpařování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214" w14:textId="1148BF4D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78CB3CAC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56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Výbušné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C6D" w14:textId="0678527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8AE5CB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D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Oxidační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B6D" w14:textId="519226D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5D15F1F" w14:textId="77777777" w:rsidTr="00FD4C5E"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356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9.2 </w:t>
            </w:r>
          </w:p>
        </w:tc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F53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EA3DA7" w:rsidRPr="00E20C76" w14:paraId="412E6785" w14:textId="77777777" w:rsidTr="0045070C"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163" w14:textId="5F1CCC42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Organická rozpouštědla: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>43,5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372943E4" w14:textId="09773569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Voda: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42,2 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  <w:p w14:paraId="7D379FE1" w14:textId="198FB04E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VOC (EC)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>27,68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73167FB6" w14:textId="59AE5AFE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Obsah pevných látek: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&gt;</w:t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>10,1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–≤</w:t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>10,6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</w:tc>
      </w:tr>
      <w:bookmarkEnd w:id="0"/>
    </w:tbl>
    <w:p w14:paraId="7A9C34A6" w14:textId="77777777" w:rsidR="00A921CE" w:rsidRPr="00E20C76" w:rsidRDefault="00A921C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574099" w:rsidRPr="00E20C76" w14:paraId="6AD73257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6E4993A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10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Stálost a reaktivita</w:t>
            </w:r>
          </w:p>
        </w:tc>
      </w:tr>
      <w:tr w:rsidR="00574099" w:rsidRPr="00E20C76" w14:paraId="61AEF508" w14:textId="77777777" w:rsidTr="00A34A39">
        <w:tc>
          <w:tcPr>
            <w:tcW w:w="1158" w:type="dxa"/>
          </w:tcPr>
          <w:p w14:paraId="5CB31F80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10.1</w:t>
            </w:r>
          </w:p>
        </w:tc>
        <w:tc>
          <w:tcPr>
            <w:tcW w:w="9390" w:type="dxa"/>
          </w:tcPr>
          <w:p w14:paraId="5ECC60E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Reaktivita</w:t>
            </w:r>
          </w:p>
        </w:tc>
      </w:tr>
      <w:tr w:rsidR="00574099" w:rsidRPr="00E20C76" w14:paraId="6AC01BFE" w14:textId="77777777" w:rsidTr="00A34A39">
        <w:tc>
          <w:tcPr>
            <w:tcW w:w="1158" w:type="dxa"/>
          </w:tcPr>
          <w:p w14:paraId="0FFB0FB2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95E6B3" w14:textId="033015DE" w:rsidR="00574099" w:rsidRPr="00E20C76" w:rsidRDefault="0015437E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574099" w:rsidRPr="00E20C76" w14:paraId="3814BE66" w14:textId="77777777" w:rsidTr="00A34A39">
        <w:tc>
          <w:tcPr>
            <w:tcW w:w="1158" w:type="dxa"/>
          </w:tcPr>
          <w:p w14:paraId="66FEDD9A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10.2</w:t>
            </w:r>
          </w:p>
        </w:tc>
        <w:tc>
          <w:tcPr>
            <w:tcW w:w="9390" w:type="dxa"/>
          </w:tcPr>
          <w:p w14:paraId="5A884039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Chemická stabilita</w:t>
            </w:r>
          </w:p>
        </w:tc>
      </w:tr>
      <w:tr w:rsidR="00657324" w:rsidRPr="00E20C76" w14:paraId="305DE84A" w14:textId="77777777" w:rsidTr="00A34A39">
        <w:tc>
          <w:tcPr>
            <w:tcW w:w="1158" w:type="dxa"/>
          </w:tcPr>
          <w:p w14:paraId="0ED913EB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8DDCF13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</w:tc>
      </w:tr>
      <w:tr w:rsidR="00574099" w:rsidRPr="00E20C76" w14:paraId="573BCF34" w14:textId="77777777" w:rsidTr="00A34A39">
        <w:tc>
          <w:tcPr>
            <w:tcW w:w="1158" w:type="dxa"/>
          </w:tcPr>
          <w:p w14:paraId="1DA5374D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10.3</w:t>
            </w:r>
          </w:p>
        </w:tc>
        <w:tc>
          <w:tcPr>
            <w:tcW w:w="9390" w:type="dxa"/>
          </w:tcPr>
          <w:p w14:paraId="66474556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Možnost nebezpečných reakcí</w:t>
            </w:r>
          </w:p>
        </w:tc>
      </w:tr>
      <w:tr w:rsidR="00574099" w:rsidRPr="00E20C76" w14:paraId="4C205D0D" w14:textId="77777777" w:rsidTr="00A34A39">
        <w:tc>
          <w:tcPr>
            <w:tcW w:w="1158" w:type="dxa"/>
          </w:tcPr>
          <w:p w14:paraId="2C88EB5D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BA10B9" w14:textId="06A14B44" w:rsidR="00657324" w:rsidRPr="00E20C76" w:rsidRDefault="00BA4DA0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 nebezpečné reakce</w:t>
            </w:r>
            <w:r w:rsidR="0015437E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za normální teploty.</w:t>
            </w:r>
          </w:p>
        </w:tc>
      </w:tr>
      <w:tr w:rsidR="00574099" w:rsidRPr="00E20C76" w14:paraId="4B3B7A9D" w14:textId="77777777" w:rsidTr="00A34A39">
        <w:tc>
          <w:tcPr>
            <w:tcW w:w="1158" w:type="dxa"/>
          </w:tcPr>
          <w:p w14:paraId="109E9F61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10.4</w:t>
            </w:r>
          </w:p>
        </w:tc>
        <w:tc>
          <w:tcPr>
            <w:tcW w:w="9390" w:type="dxa"/>
          </w:tcPr>
          <w:p w14:paraId="3055160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Podmínky, kterým je třeba zabránit</w:t>
            </w:r>
          </w:p>
        </w:tc>
      </w:tr>
      <w:tr w:rsidR="00574099" w:rsidRPr="00E20C76" w14:paraId="7A36680F" w14:textId="77777777" w:rsidTr="00A34A39">
        <w:tc>
          <w:tcPr>
            <w:tcW w:w="1158" w:type="dxa"/>
          </w:tcPr>
          <w:p w14:paraId="43DBB1FA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478E99" w14:textId="77777777" w:rsidR="00574099" w:rsidRPr="00E20C76" w:rsidRDefault="00B562A8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</w:t>
            </w:r>
          </w:p>
        </w:tc>
      </w:tr>
      <w:tr w:rsidR="00574099" w:rsidRPr="00E20C76" w14:paraId="1691EB81" w14:textId="77777777" w:rsidTr="00A34A39">
        <w:tc>
          <w:tcPr>
            <w:tcW w:w="1158" w:type="dxa"/>
          </w:tcPr>
          <w:p w14:paraId="1442F78C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10.5</w:t>
            </w:r>
          </w:p>
        </w:tc>
        <w:tc>
          <w:tcPr>
            <w:tcW w:w="9390" w:type="dxa"/>
          </w:tcPr>
          <w:p w14:paraId="681F5F25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Neslučitelné materiály</w:t>
            </w:r>
          </w:p>
        </w:tc>
      </w:tr>
      <w:tr w:rsidR="0015437E" w:rsidRPr="00E20C76" w14:paraId="25A87DBA" w14:textId="77777777" w:rsidTr="00A34A39">
        <w:tc>
          <w:tcPr>
            <w:tcW w:w="1158" w:type="dxa"/>
          </w:tcPr>
          <w:p w14:paraId="77047E44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26CDEB5" w14:textId="3DCA1C2C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2A23F638" w14:textId="77777777" w:rsidTr="00A34A39">
        <w:tc>
          <w:tcPr>
            <w:tcW w:w="1158" w:type="dxa"/>
          </w:tcPr>
          <w:p w14:paraId="4BEC1659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10.6</w:t>
            </w:r>
          </w:p>
        </w:tc>
        <w:tc>
          <w:tcPr>
            <w:tcW w:w="9390" w:type="dxa"/>
          </w:tcPr>
          <w:p w14:paraId="3B2233A4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produkty rozkladu</w:t>
            </w:r>
          </w:p>
        </w:tc>
      </w:tr>
      <w:tr w:rsidR="0015437E" w:rsidRPr="00E20C76" w14:paraId="072D1E8F" w14:textId="77777777" w:rsidTr="00A34A39">
        <w:tc>
          <w:tcPr>
            <w:tcW w:w="1158" w:type="dxa"/>
          </w:tcPr>
          <w:p w14:paraId="40A97B70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F16143" w14:textId="72FAA589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4975DA67" w14:textId="77777777" w:rsidTr="00A34A39">
        <w:tc>
          <w:tcPr>
            <w:tcW w:w="1158" w:type="dxa"/>
          </w:tcPr>
          <w:p w14:paraId="68FA17E8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10.7</w:t>
            </w:r>
          </w:p>
        </w:tc>
        <w:tc>
          <w:tcPr>
            <w:tcW w:w="9390" w:type="dxa"/>
          </w:tcPr>
          <w:p w14:paraId="5D7415D1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15437E" w:rsidRPr="00E20C76" w14:paraId="1B406056" w14:textId="77777777" w:rsidTr="00A34A39">
        <w:tc>
          <w:tcPr>
            <w:tcW w:w="1158" w:type="dxa"/>
          </w:tcPr>
          <w:p w14:paraId="49487556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BCA4EDD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</w:tbl>
    <w:p w14:paraId="0FBC7406" w14:textId="77777777" w:rsidR="00574099" w:rsidRPr="00E20C76" w:rsidRDefault="0057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657324" w:rsidRPr="00E20C76" w14:paraId="7DD4B74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4BBBC72C" w14:textId="2A269C08" w:rsidR="00657324" w:rsidRPr="00E20C76" w:rsidRDefault="00657324" w:rsidP="00657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11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TOXIKOLOGICKÉ INFORMACE</w:t>
            </w:r>
          </w:p>
        </w:tc>
      </w:tr>
      <w:tr w:rsidR="00657324" w:rsidRPr="00E20C76" w14:paraId="10B394B8" w14:textId="77777777" w:rsidTr="00A34A39">
        <w:tc>
          <w:tcPr>
            <w:tcW w:w="1158" w:type="dxa"/>
          </w:tcPr>
          <w:p w14:paraId="648805E4" w14:textId="77777777" w:rsidR="00657324" w:rsidRPr="00E20C76" w:rsidRDefault="00657324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11.1</w:t>
            </w:r>
          </w:p>
        </w:tc>
        <w:tc>
          <w:tcPr>
            <w:tcW w:w="9390" w:type="dxa"/>
          </w:tcPr>
          <w:p w14:paraId="5156F9A2" w14:textId="56207BA2" w:rsidR="00657324" w:rsidRPr="00E20C76" w:rsidRDefault="002643C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třídách nebezpečnosti vymezených v nařízení (ES) č. 1272/2008</w:t>
            </w:r>
          </w:p>
        </w:tc>
      </w:tr>
      <w:tr w:rsidR="001F6062" w:rsidRPr="00E20C76" w14:paraId="78A45D6B" w14:textId="77777777" w:rsidTr="00A34A39">
        <w:tc>
          <w:tcPr>
            <w:tcW w:w="1158" w:type="dxa"/>
          </w:tcPr>
          <w:p w14:paraId="545D1AA7" w14:textId="77777777" w:rsidR="001F6062" w:rsidRPr="00E20C76" w:rsidRDefault="001F6062" w:rsidP="006573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9390" w:type="dxa"/>
          </w:tcPr>
          <w:p w14:paraId="12D46145" w14:textId="77777777" w:rsidR="001F6062" w:rsidRPr="00E20C76" w:rsidRDefault="001F6062" w:rsidP="001F606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Směsi</w:t>
            </w:r>
          </w:p>
        </w:tc>
      </w:tr>
      <w:tr w:rsidR="00D275A6" w:rsidRPr="00E20C76" w14:paraId="21B6706B" w14:textId="77777777" w:rsidTr="00A34A39">
        <w:tc>
          <w:tcPr>
            <w:tcW w:w="1158" w:type="dxa"/>
          </w:tcPr>
          <w:p w14:paraId="54A0CB67" w14:textId="77777777" w:rsidR="00D275A6" w:rsidRPr="00E20C76" w:rsidRDefault="00D275A6" w:rsidP="00D275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7A8203C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Experimentální data pro směs nejsou k dispozici</w:t>
            </w:r>
          </w:p>
          <w:p w14:paraId="47E9744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Akutní toxicita: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621E1FB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Žíravost/dráždivost pro kůži: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38B335C6" w14:textId="2AF5E288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Vážné poškození očí/podráždění očí: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4E22D0A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Senzibilizace dýchacích cest/senzibilizace kůže: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28ABB42B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Mutagenita v zárodečných buňkách: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Data nejsou k dispozici </w:t>
            </w:r>
          </w:p>
          <w:p w14:paraId="5E2BA81E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Karcinogenita: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4BDD6036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reprodukci: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06C0E53E" w14:textId="43522066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</w:t>
            </w:r>
            <w:proofErr w:type="gram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orgány - jednorázová</w:t>
            </w:r>
            <w:proofErr w:type="gram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3127250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</w:t>
            </w:r>
            <w:proofErr w:type="gramStart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orgány - opakovaná</w:t>
            </w:r>
            <w:proofErr w:type="gramEnd"/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45C495DF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Nebezpečnost při vdechnutí: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</w:tc>
      </w:tr>
      <w:tr w:rsidR="00F24643" w:rsidRPr="00E20C76" w14:paraId="37D375F1" w14:textId="77777777" w:rsidTr="00A34A39">
        <w:tc>
          <w:tcPr>
            <w:tcW w:w="1158" w:type="dxa"/>
          </w:tcPr>
          <w:p w14:paraId="58FE0BE9" w14:textId="302BB1DA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11.1.2</w:t>
            </w:r>
          </w:p>
        </w:tc>
        <w:tc>
          <w:tcPr>
            <w:tcW w:w="9390" w:type="dxa"/>
          </w:tcPr>
          <w:p w14:paraId="251BD552" w14:textId="7459816D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Složky směsi</w:t>
            </w:r>
          </w:p>
        </w:tc>
      </w:tr>
      <w:tr w:rsidR="00F24643" w:rsidRPr="00E20C76" w14:paraId="77050401" w14:textId="77777777" w:rsidTr="00A34A39">
        <w:tc>
          <w:tcPr>
            <w:tcW w:w="1158" w:type="dxa"/>
          </w:tcPr>
          <w:p w14:paraId="7D9474D8" w14:textId="77777777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2B4222" w14:textId="77777777" w:rsidR="00F24643" w:rsidRPr="00F24643" w:rsidRDefault="00F24643" w:rsidP="00A921C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proofErr w:type="gramStart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2-Pyrrolidinone</w:t>
            </w:r>
            <w:proofErr w:type="gramEnd"/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, 1-ethenyl-, homopolymer</w:t>
            </w:r>
          </w:p>
          <w:p w14:paraId="43538AEA" w14:textId="1BC31D2F" w:rsidR="00F24643" w:rsidRPr="00F24643" w:rsidRDefault="00F24643" w:rsidP="00A921C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Oral LD</w:t>
            </w:r>
            <w:proofErr w:type="gramStart"/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 &gt;</w:t>
            </w:r>
            <w:proofErr w:type="gramEnd"/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2,000 mg/kg (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potkan</w:t>
            </w: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21CE" w:rsidRPr="00E20C76" w14:paraId="7A05B598" w14:textId="77777777" w:rsidTr="00A34A39">
        <w:tc>
          <w:tcPr>
            <w:tcW w:w="1158" w:type="dxa"/>
          </w:tcPr>
          <w:p w14:paraId="6F037BA1" w14:textId="77777777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9390" w:type="dxa"/>
          </w:tcPr>
          <w:p w14:paraId="73AAC99E" w14:textId="6EB1CF0D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další nebezpečnost</w:t>
            </w:r>
          </w:p>
        </w:tc>
      </w:tr>
      <w:tr w:rsidR="001F6062" w:rsidRPr="00E20C76" w14:paraId="5C5F0167" w14:textId="77777777" w:rsidTr="00A34A39">
        <w:tc>
          <w:tcPr>
            <w:tcW w:w="1158" w:type="dxa"/>
          </w:tcPr>
          <w:p w14:paraId="48148A85" w14:textId="77777777" w:rsidR="001F6062" w:rsidRPr="00E20C76" w:rsidRDefault="001F6062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4CB7548" w14:textId="3A28DAFF" w:rsidR="001F6062" w:rsidRPr="00E20C76" w:rsidRDefault="00A921CE" w:rsidP="0015437E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Pokud je nám známo neobsahuje látky identifikované jako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disruptory</w:t>
            </w:r>
            <w:proofErr w:type="spellEnd"/>
          </w:p>
        </w:tc>
      </w:tr>
    </w:tbl>
    <w:p w14:paraId="5A930CD9" w14:textId="77777777" w:rsidR="00657324" w:rsidRPr="00E20C76" w:rsidRDefault="006573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2C20DB" w:rsidRPr="00E20C76" w14:paraId="5AEB675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660CED3" w14:textId="2657D20A" w:rsidR="002C20DB" w:rsidRPr="00E20C76" w:rsidRDefault="002C20DB" w:rsidP="002C2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EKOLOGICKÉ INFORMACE</w:t>
            </w:r>
          </w:p>
        </w:tc>
      </w:tr>
      <w:tr w:rsidR="002C20DB" w:rsidRPr="00E20C76" w14:paraId="52EA3761" w14:textId="77777777" w:rsidTr="00A34A39">
        <w:tc>
          <w:tcPr>
            <w:tcW w:w="1158" w:type="dxa"/>
          </w:tcPr>
          <w:p w14:paraId="13E95E83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12.1</w:t>
            </w:r>
          </w:p>
        </w:tc>
        <w:tc>
          <w:tcPr>
            <w:tcW w:w="9390" w:type="dxa"/>
          </w:tcPr>
          <w:p w14:paraId="7ADB8780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Toxicita</w:t>
            </w:r>
          </w:p>
        </w:tc>
      </w:tr>
      <w:tr w:rsidR="002C20DB" w:rsidRPr="00E20C76" w14:paraId="0AF345FC" w14:textId="77777777" w:rsidTr="00A34A39">
        <w:tc>
          <w:tcPr>
            <w:tcW w:w="1158" w:type="dxa"/>
          </w:tcPr>
          <w:p w14:paraId="7E5B6411" w14:textId="77777777" w:rsidR="002C20DB" w:rsidRPr="00E20C76" w:rsidRDefault="002C20DB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1AEC98" w14:textId="77777777" w:rsidR="00A51016" w:rsidRPr="00E20C76" w:rsidRDefault="00BA4DA0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Pro směs nejsou relevantní toxikologické údaje k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dispozici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C5E" w:rsidRPr="00E20C76" w14:paraId="1D2E4672" w14:textId="77777777" w:rsidTr="00A34A39">
        <w:tc>
          <w:tcPr>
            <w:tcW w:w="1158" w:type="dxa"/>
          </w:tcPr>
          <w:p w14:paraId="31D081F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12.2</w:t>
            </w:r>
          </w:p>
        </w:tc>
        <w:tc>
          <w:tcPr>
            <w:tcW w:w="9390" w:type="dxa"/>
          </w:tcPr>
          <w:p w14:paraId="27164A5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Perzistence a rozložitelnost</w:t>
            </w:r>
          </w:p>
        </w:tc>
      </w:tr>
      <w:tr w:rsidR="00EA3DA7" w:rsidRPr="00E20C76" w14:paraId="31071F24" w14:textId="77777777" w:rsidTr="00A34A39">
        <w:tc>
          <w:tcPr>
            <w:tcW w:w="1158" w:type="dxa"/>
          </w:tcPr>
          <w:p w14:paraId="1351334C" w14:textId="77777777" w:rsidR="00EA3DA7" w:rsidRPr="00E20C76" w:rsidRDefault="00EA3DA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29A0B6" w14:textId="3C7AF343" w:rsidR="00EA3DA7" w:rsidRPr="00E20C76" w:rsidRDefault="00EA3DA7" w:rsidP="00FD4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FD4C5E" w:rsidRPr="00E20C76" w14:paraId="03A6AAA7" w14:textId="77777777" w:rsidTr="00A34A39">
        <w:tc>
          <w:tcPr>
            <w:tcW w:w="1158" w:type="dxa"/>
          </w:tcPr>
          <w:p w14:paraId="7942645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12.3</w:t>
            </w:r>
          </w:p>
        </w:tc>
        <w:tc>
          <w:tcPr>
            <w:tcW w:w="9390" w:type="dxa"/>
          </w:tcPr>
          <w:p w14:paraId="030F792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Bioakumulační potenciál</w:t>
            </w:r>
          </w:p>
        </w:tc>
      </w:tr>
      <w:tr w:rsidR="00EA3DA7" w:rsidRPr="00E20C76" w14:paraId="4106000B" w14:textId="77777777" w:rsidTr="00A34A39">
        <w:tc>
          <w:tcPr>
            <w:tcW w:w="1158" w:type="dxa"/>
          </w:tcPr>
          <w:p w14:paraId="2BED7CF9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0E01EAF" w14:textId="35DE5E98" w:rsidR="00EA3DA7" w:rsidRPr="00E20C76" w:rsidRDefault="00EA3DA7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D426FAB" w14:textId="77777777" w:rsidTr="00A34A39">
        <w:tc>
          <w:tcPr>
            <w:tcW w:w="1158" w:type="dxa"/>
          </w:tcPr>
          <w:p w14:paraId="1E3C8DB3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12.4</w:t>
            </w:r>
          </w:p>
        </w:tc>
        <w:tc>
          <w:tcPr>
            <w:tcW w:w="9390" w:type="dxa"/>
          </w:tcPr>
          <w:p w14:paraId="1414CE7E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Mobilita</w:t>
            </w:r>
          </w:p>
        </w:tc>
      </w:tr>
      <w:tr w:rsidR="00EA3DA7" w:rsidRPr="00E20C76" w14:paraId="549CAFC2" w14:textId="77777777" w:rsidTr="00A34A39">
        <w:tc>
          <w:tcPr>
            <w:tcW w:w="1158" w:type="dxa"/>
          </w:tcPr>
          <w:p w14:paraId="78C2E04A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72369BF" w14:textId="6790196D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E68F22D" w14:textId="77777777" w:rsidTr="00A34A39">
        <w:tc>
          <w:tcPr>
            <w:tcW w:w="1158" w:type="dxa"/>
          </w:tcPr>
          <w:p w14:paraId="1A0F8A7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12.5</w:t>
            </w:r>
          </w:p>
        </w:tc>
        <w:tc>
          <w:tcPr>
            <w:tcW w:w="9390" w:type="dxa"/>
          </w:tcPr>
          <w:p w14:paraId="614064D4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Výsledky posouzení PBT a </w:t>
            </w:r>
            <w:proofErr w:type="spellStart"/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vPvB</w:t>
            </w:r>
            <w:proofErr w:type="spellEnd"/>
          </w:p>
        </w:tc>
      </w:tr>
      <w:tr w:rsidR="00E20C76" w:rsidRPr="00E20C76" w14:paraId="1CCA1FED" w14:textId="77777777" w:rsidTr="00A34A39">
        <w:tc>
          <w:tcPr>
            <w:tcW w:w="1158" w:type="dxa"/>
          </w:tcPr>
          <w:p w14:paraId="1B1FAE66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97230E2" w14:textId="2D72EFFB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neobsahuje látky identifikované jako </w:t>
            </w: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PBT a </w:t>
            </w:r>
            <w:proofErr w:type="spellStart"/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vPvB</w:t>
            </w:r>
            <w:proofErr w:type="spellEnd"/>
          </w:p>
        </w:tc>
      </w:tr>
      <w:tr w:rsidR="00E20C76" w:rsidRPr="00E20C76" w14:paraId="42274FC6" w14:textId="77777777" w:rsidTr="00A34A39">
        <w:tc>
          <w:tcPr>
            <w:tcW w:w="1158" w:type="dxa"/>
          </w:tcPr>
          <w:p w14:paraId="2F335F5C" w14:textId="38565FD4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12.6</w:t>
            </w:r>
          </w:p>
        </w:tc>
        <w:tc>
          <w:tcPr>
            <w:tcW w:w="9390" w:type="dxa"/>
          </w:tcPr>
          <w:p w14:paraId="60DE1061" w14:textId="64A70801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Vlastnosti vyvolávající narušení činnosti endokrinního systém</w:t>
            </w:r>
          </w:p>
        </w:tc>
      </w:tr>
      <w:tr w:rsidR="00E20C76" w:rsidRPr="00E20C76" w14:paraId="01BF07B1" w14:textId="77777777" w:rsidTr="00A34A39">
        <w:tc>
          <w:tcPr>
            <w:tcW w:w="1158" w:type="dxa"/>
          </w:tcPr>
          <w:p w14:paraId="3980D8A7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F04445B" w14:textId="76EAECD8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Pokud je nám známo neobsahuje látky identifikované jako endokrinní </w:t>
            </w:r>
            <w:proofErr w:type="spellStart"/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disruptory</w:t>
            </w:r>
            <w:proofErr w:type="spellEnd"/>
          </w:p>
        </w:tc>
      </w:tr>
      <w:tr w:rsidR="00E20C76" w:rsidRPr="00E20C76" w14:paraId="2C11C59D" w14:textId="77777777" w:rsidTr="00A34A39">
        <w:tc>
          <w:tcPr>
            <w:tcW w:w="1158" w:type="dxa"/>
          </w:tcPr>
          <w:p w14:paraId="11378810" w14:textId="198CE6ED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12.7</w:t>
            </w:r>
          </w:p>
        </w:tc>
        <w:tc>
          <w:tcPr>
            <w:tcW w:w="9390" w:type="dxa"/>
          </w:tcPr>
          <w:p w14:paraId="1A6B93C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Jiné nepříznivé účinky</w:t>
            </w:r>
          </w:p>
        </w:tc>
      </w:tr>
      <w:tr w:rsidR="00E20C76" w:rsidRPr="00E20C76" w14:paraId="4ACB8C67" w14:textId="77777777" w:rsidTr="00A34A39">
        <w:tc>
          <w:tcPr>
            <w:tcW w:w="1158" w:type="dxa"/>
          </w:tcPr>
          <w:p w14:paraId="40D6DCF8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68D6E42" w14:textId="39DB645F" w:rsidR="00E20C76" w:rsidRPr="00E20C76" w:rsidRDefault="00766320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>Třída ohrožení vody 1 (německý předpis) (vlastní zařazení): mírně ohrožující vodu. Nedovolte, aby se neředěný produkt nebo jeho velké množství dostalo do podzemních vod, povodí nebo kanalizace.</w:t>
            </w: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DD62E9F" w14:textId="77777777" w:rsidR="006F00DF" w:rsidRPr="00E20C76" w:rsidRDefault="006F00D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34"/>
        <w:gridCol w:w="9414"/>
      </w:tblGrid>
      <w:tr w:rsidR="00B355DD" w:rsidRPr="00E20C76" w14:paraId="2B193C1B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CC7767C" w14:textId="77777777" w:rsidR="00B355DD" w:rsidRPr="00E20C76" w:rsidRDefault="00B355DD" w:rsidP="00B355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E20C76" w14:paraId="120FE69F" w14:textId="77777777" w:rsidTr="004D517F">
        <w:tc>
          <w:tcPr>
            <w:tcW w:w="1134" w:type="dxa"/>
          </w:tcPr>
          <w:p w14:paraId="02238F1C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13.1</w:t>
            </w:r>
          </w:p>
        </w:tc>
        <w:tc>
          <w:tcPr>
            <w:tcW w:w="9414" w:type="dxa"/>
          </w:tcPr>
          <w:p w14:paraId="2935DA99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nakládání s odpady</w:t>
            </w:r>
          </w:p>
        </w:tc>
      </w:tr>
      <w:tr w:rsidR="00B355DD" w:rsidRPr="00E20C76" w14:paraId="450A6880" w14:textId="77777777" w:rsidTr="004D517F">
        <w:tc>
          <w:tcPr>
            <w:tcW w:w="1134" w:type="dxa"/>
          </w:tcPr>
          <w:p w14:paraId="070F0D60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6780C469" w14:textId="07775159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odpady nutno nakládat v souladu se zákonem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Sb., o odpadech v platném znění a ve znění souvisejících předpisů.</w:t>
            </w:r>
          </w:p>
          <w:p w14:paraId="220F27CA" w14:textId="77777777" w:rsidR="00B355DD" w:rsidRDefault="00B355DD" w:rsidP="00B355D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Nemísit s komunálním odpadem. Zabránit úniku do kanalizace</w:t>
            </w:r>
          </w:p>
          <w:p w14:paraId="51FBD43F" w14:textId="05DCC6E2" w:rsidR="00EA3DA7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domácích podmínkách:</w:t>
            </w: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Menší množství lze zlikvidovat s domovním odpadem.</w:t>
            </w:r>
          </w:p>
        </w:tc>
      </w:tr>
      <w:tr w:rsidR="00B355DD" w:rsidRPr="00E20C76" w14:paraId="46BBDAFC" w14:textId="77777777" w:rsidTr="004D517F">
        <w:tc>
          <w:tcPr>
            <w:tcW w:w="1134" w:type="dxa"/>
          </w:tcPr>
          <w:p w14:paraId="3B57DAC1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14" w:type="dxa"/>
          </w:tcPr>
          <w:p w14:paraId="346FF94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E20C76" w14:paraId="4C500D8B" w14:textId="77777777" w:rsidTr="004D517F">
        <w:tc>
          <w:tcPr>
            <w:tcW w:w="1134" w:type="dxa"/>
          </w:tcPr>
          <w:p w14:paraId="2FCCD17C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5F8D5704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odstraňování odpadu významné riziko nevzniká, ale prázdné obaly mohou obsahovat nezreagované komponenty</w:t>
            </w:r>
          </w:p>
        </w:tc>
      </w:tr>
      <w:tr w:rsidR="00B355DD" w:rsidRPr="00E20C76" w14:paraId="09BDF90A" w14:textId="77777777" w:rsidTr="004D517F">
        <w:tc>
          <w:tcPr>
            <w:tcW w:w="1134" w:type="dxa"/>
          </w:tcPr>
          <w:p w14:paraId="36246636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4" w:type="dxa"/>
          </w:tcPr>
          <w:p w14:paraId="2D7201DB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B355DD" w:rsidRPr="00E20C76" w14:paraId="0D68DC07" w14:textId="77777777" w:rsidTr="004D517F">
        <w:tc>
          <w:tcPr>
            <w:tcW w:w="1134" w:type="dxa"/>
          </w:tcPr>
          <w:p w14:paraId="5807BD3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3BF3A760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</w:t>
            </w:r>
          </w:p>
        </w:tc>
      </w:tr>
      <w:tr w:rsidR="00B355DD" w:rsidRPr="00E20C76" w14:paraId="3890DE8A" w14:textId="77777777" w:rsidTr="004D517F">
        <w:tc>
          <w:tcPr>
            <w:tcW w:w="1134" w:type="dxa"/>
          </w:tcPr>
          <w:p w14:paraId="0ACDBD55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11E50F9E" w14:textId="77777777" w:rsidR="00BA4DA0" w:rsidRPr="00E20C76" w:rsidRDefault="00BA4DA0" w:rsidP="00BA4D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Kapalina </w:t>
            </w:r>
          </w:p>
          <w:p w14:paraId="1B94DA8C" w14:textId="10CFA6AE" w:rsidR="00B355DD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08 01 11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BA4DA0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Odpadní barvy a laky obsahující organická rozpouštědla</w:t>
            </w:r>
          </w:p>
        </w:tc>
      </w:tr>
      <w:tr w:rsidR="00B355DD" w:rsidRPr="00E20C76" w14:paraId="3FFF486A" w14:textId="77777777" w:rsidTr="004D517F">
        <w:tc>
          <w:tcPr>
            <w:tcW w:w="1134" w:type="dxa"/>
          </w:tcPr>
          <w:p w14:paraId="28B618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13.1.</w:t>
            </w:r>
            <w:r w:rsidR="004F1C4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9414" w:type="dxa"/>
          </w:tcPr>
          <w:p w14:paraId="6CC441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Obal</w:t>
            </w:r>
            <w:r w:rsidR="00EC7521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B355DD" w:rsidRPr="00E20C76" w14:paraId="7FA5C341" w14:textId="77777777" w:rsidTr="004D517F">
        <w:tc>
          <w:tcPr>
            <w:tcW w:w="1134" w:type="dxa"/>
          </w:tcPr>
          <w:p w14:paraId="3F89DE0E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271886DE" w14:textId="77777777" w:rsidR="00A51016" w:rsidRPr="00E20C76" w:rsidRDefault="00A51016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 znečištěný chemikálií:</w:t>
            </w:r>
          </w:p>
          <w:p w14:paraId="5DA0DF5C" w14:textId="3C07C1EA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 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Obaly obsahující zbytky nebezpečných látek nebo obaly těmito látkami znečištěné</w:t>
            </w:r>
          </w:p>
        </w:tc>
      </w:tr>
    </w:tbl>
    <w:p w14:paraId="154097F7" w14:textId="77777777" w:rsidR="00B355DD" w:rsidRPr="00E20C76" w:rsidRDefault="00B355D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A51016" w:rsidRPr="00E20C76" w14:paraId="67E6F13F" w14:textId="77777777" w:rsidTr="00A51016">
        <w:trPr>
          <w:trHeight w:val="447"/>
        </w:trPr>
        <w:tc>
          <w:tcPr>
            <w:tcW w:w="10620" w:type="dxa"/>
            <w:gridSpan w:val="2"/>
            <w:shd w:val="clear" w:color="auto" w:fill="E0E0E0"/>
            <w:vAlign w:val="center"/>
          </w:tcPr>
          <w:p w14:paraId="6A12A23D" w14:textId="77777777" w:rsidR="00A51016" w:rsidRPr="00E20C76" w:rsidRDefault="00A51016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 xml:space="preserve">oddíl 14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A51016" w:rsidRPr="00E20C76" w14:paraId="15E507EF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21C1FE17" w14:textId="485A8318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14.1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 číslo </w:t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nebo ID číslo</w:t>
            </w:r>
          </w:p>
        </w:tc>
        <w:tc>
          <w:tcPr>
            <w:tcW w:w="5400" w:type="dxa"/>
          </w:tcPr>
          <w:p w14:paraId="2A3D8A07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Nepodléhá předpisům</w:t>
            </w:r>
          </w:p>
        </w:tc>
      </w:tr>
      <w:tr w:rsidR="00A51016" w:rsidRPr="00E20C76" w14:paraId="1F2F144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0E6E2A0D" w14:textId="77777777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14.2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984DDD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Oficiální (OSN) pojmenování pro přepravu</w:t>
            </w:r>
          </w:p>
        </w:tc>
        <w:tc>
          <w:tcPr>
            <w:tcW w:w="5400" w:type="dxa"/>
          </w:tcPr>
          <w:p w14:paraId="3350007A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66DF8E3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6C2A887D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Třída/třídy nebezpečnosti pro přepravu</w:t>
            </w:r>
          </w:p>
        </w:tc>
        <w:tc>
          <w:tcPr>
            <w:tcW w:w="5400" w:type="dxa"/>
          </w:tcPr>
          <w:p w14:paraId="36C31E4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C82917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73F20DE7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14.4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Obalová skupina</w:t>
            </w:r>
          </w:p>
        </w:tc>
        <w:tc>
          <w:tcPr>
            <w:tcW w:w="5400" w:type="dxa"/>
          </w:tcPr>
          <w:p w14:paraId="280C576C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42AA556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8145EA6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14.5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Nebezpečnost pro životní prostředí</w:t>
            </w:r>
          </w:p>
        </w:tc>
        <w:tc>
          <w:tcPr>
            <w:tcW w:w="5400" w:type="dxa"/>
          </w:tcPr>
          <w:p w14:paraId="007FD210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2EA2D2C0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1B9C177C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14.6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Zvláštní bezpečnostní opatření pro uživatele</w:t>
            </w:r>
          </w:p>
        </w:tc>
        <w:tc>
          <w:tcPr>
            <w:tcW w:w="5400" w:type="dxa"/>
          </w:tcPr>
          <w:p w14:paraId="4E3DA9A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30B6B55B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77BCA1F" w14:textId="46F78C93" w:rsidR="008364A7" w:rsidRPr="00E20C76" w:rsidRDefault="008364A7" w:rsidP="00FC76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14.7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Námořní hromadná přeprava podle nástrojů IMO</w:t>
            </w:r>
            <w:r w:rsidR="00C00138" w:rsidRPr="00E20C76" w:rsidDel="00950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305CDD9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</w:tbl>
    <w:p w14:paraId="6C582E63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A61B47" w:rsidRPr="00E20C76" w14:paraId="0E7A552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0DF86D00" w14:textId="77777777" w:rsidR="00A61B47" w:rsidRPr="00E20C76" w:rsidRDefault="00A61B47" w:rsidP="00A61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984DDD" w:rsidRPr="00E20C76" w14:paraId="69726180" w14:textId="77777777" w:rsidTr="00A34A39">
        <w:tc>
          <w:tcPr>
            <w:tcW w:w="1158" w:type="dxa"/>
          </w:tcPr>
          <w:p w14:paraId="062226FF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15.1</w:t>
            </w:r>
          </w:p>
        </w:tc>
        <w:tc>
          <w:tcPr>
            <w:tcW w:w="9390" w:type="dxa"/>
          </w:tcPr>
          <w:p w14:paraId="673EA5FA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984DDD" w:rsidRPr="00E20C76" w14:paraId="5EB0D1A7" w14:textId="77777777" w:rsidTr="00A34A39">
        <w:tc>
          <w:tcPr>
            <w:tcW w:w="1158" w:type="dxa"/>
          </w:tcPr>
          <w:p w14:paraId="64136B1A" w14:textId="77777777" w:rsidR="00984DDD" w:rsidRPr="00E20C76" w:rsidRDefault="00984DDD" w:rsidP="00984D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00AB19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Nařízení Evropského parlamentu a Rady (ES) č. 1907/2006 v platném znění</w:t>
            </w:r>
          </w:p>
          <w:p w14:paraId="2CB0B21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Evropského Parlamentu a Rady (ES) č. 1272/2008 v platném znění </w:t>
            </w:r>
          </w:p>
          <w:p w14:paraId="11AC747F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350/2011 Sb., o chemických látkách a směsích</w:t>
            </w:r>
          </w:p>
          <w:p w14:paraId="1FFDEDB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 258/2000 Sb. o ochraně veřejného zdraví v platném znění </w:t>
            </w:r>
          </w:p>
          <w:p w14:paraId="6B94C36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14:paraId="4518CB97" w14:textId="1D281B8B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Sb. o odpadech, ve znění pozdějších předpisů a jeho prováděcí předpisy, </w:t>
            </w:r>
          </w:p>
          <w:p w14:paraId="634727DC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14:paraId="3BD1121E" w14:textId="77777777" w:rsidR="00984DDD" w:rsidRPr="00E20C76" w:rsidRDefault="00984DDD" w:rsidP="00984DDD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E20C76" w14:paraId="623A26A4" w14:textId="77777777" w:rsidTr="00A34A39">
        <w:tc>
          <w:tcPr>
            <w:tcW w:w="1158" w:type="dxa"/>
          </w:tcPr>
          <w:p w14:paraId="7DF51770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15.2</w:t>
            </w:r>
          </w:p>
        </w:tc>
        <w:tc>
          <w:tcPr>
            <w:tcW w:w="9390" w:type="dxa"/>
          </w:tcPr>
          <w:p w14:paraId="3E912B62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Posouzení chemické bezpečnosti</w:t>
            </w:r>
          </w:p>
        </w:tc>
      </w:tr>
      <w:tr w:rsidR="00A61B47" w:rsidRPr="00E20C76" w14:paraId="02E3C905" w14:textId="77777777" w:rsidTr="00A34A39">
        <w:tc>
          <w:tcPr>
            <w:tcW w:w="1158" w:type="dxa"/>
          </w:tcPr>
          <w:p w14:paraId="6BE94BD3" w14:textId="77777777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00ECD38" w14:textId="10A7138A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nebylo provedeno</w:t>
            </w:r>
          </w:p>
        </w:tc>
      </w:tr>
    </w:tbl>
    <w:p w14:paraId="77A3790A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476DBA" w:rsidRPr="00E20C76" w14:paraId="7AB298BE" w14:textId="77777777" w:rsidTr="00984DDD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56765A0" w14:textId="263CB347" w:rsidR="00476DBA" w:rsidRPr="00E20C76" w:rsidRDefault="00476DBA" w:rsidP="00476D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984DDD" w:rsidRPr="00E20C76" w14:paraId="45D841B2" w14:textId="77777777" w:rsidTr="00984DDD">
        <w:tc>
          <w:tcPr>
            <w:tcW w:w="1158" w:type="dxa"/>
            <w:vAlign w:val="center"/>
          </w:tcPr>
          <w:p w14:paraId="309AA743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</w:t>
            </w:r>
          </w:p>
        </w:tc>
        <w:tc>
          <w:tcPr>
            <w:tcW w:w="9390" w:type="dxa"/>
            <w:vAlign w:val="center"/>
          </w:tcPr>
          <w:p w14:paraId="380F8118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a zkratek klasifikačních tříd </w:t>
            </w:r>
          </w:p>
        </w:tc>
      </w:tr>
      <w:tr w:rsidR="00BA4DA0" w:rsidRPr="00E20C76" w14:paraId="16458BE2" w14:textId="77777777" w:rsidTr="00984DDD">
        <w:tc>
          <w:tcPr>
            <w:tcW w:w="1158" w:type="dxa"/>
          </w:tcPr>
          <w:p w14:paraId="145D2A8D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16.1.2</w:t>
            </w:r>
          </w:p>
        </w:tc>
        <w:tc>
          <w:tcPr>
            <w:tcW w:w="9390" w:type="dxa"/>
          </w:tcPr>
          <w:p w14:paraId="55361161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</w:t>
            </w:r>
          </w:p>
        </w:tc>
      </w:tr>
      <w:tr w:rsidR="00E20C76" w:rsidRPr="00E20C76" w14:paraId="4FFCFC53" w14:textId="77777777" w:rsidTr="002D37FA">
        <w:tc>
          <w:tcPr>
            <w:tcW w:w="1158" w:type="dxa"/>
          </w:tcPr>
          <w:p w14:paraId="3CCA64C3" w14:textId="77777777" w:rsidR="00E20C76" w:rsidRPr="00E20C76" w:rsidRDefault="00E20C76" w:rsidP="00E836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AD119BF" w14:textId="5DB80221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H228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Hořlavá tuhá látka</w:t>
            </w:r>
          </w:p>
          <w:p w14:paraId="2E846250" w14:textId="35E31515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H411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Toxický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vodní organismy, s dlouhodobými účinky.</w:t>
            </w:r>
          </w:p>
          <w:p w14:paraId="77AD5759" w14:textId="4A0B4C8C" w:rsidR="00E20C76" w:rsidRPr="008D72AC" w:rsidRDefault="00E20C76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</w:tc>
      </w:tr>
      <w:tr w:rsidR="00F64404" w:rsidRPr="00E20C76" w14:paraId="3CC36753" w14:textId="77777777" w:rsidTr="00984DDD">
        <w:tc>
          <w:tcPr>
            <w:tcW w:w="1158" w:type="dxa"/>
          </w:tcPr>
          <w:p w14:paraId="66BC6CF6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16.1.3</w:t>
            </w:r>
          </w:p>
        </w:tc>
        <w:tc>
          <w:tcPr>
            <w:tcW w:w="9390" w:type="dxa"/>
          </w:tcPr>
          <w:p w14:paraId="65AD19C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Plná znění zkratek klasifikačních tříd</w:t>
            </w:r>
          </w:p>
        </w:tc>
      </w:tr>
      <w:tr w:rsidR="00E20C76" w:rsidRPr="00E20C76" w14:paraId="69D2A1E3" w14:textId="77777777" w:rsidTr="00433AA7">
        <w:tc>
          <w:tcPr>
            <w:tcW w:w="1158" w:type="dxa"/>
          </w:tcPr>
          <w:p w14:paraId="2F5FA82E" w14:textId="77777777" w:rsidR="00E20C76" w:rsidRPr="00E20C76" w:rsidRDefault="00E20C76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79B8DE5" w14:textId="1C7A3734" w:rsidR="008D72AC" w:rsidRPr="008D72AC" w:rsidRDefault="008D72AC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</w:t>
            </w:r>
            <w:proofErr w:type="spellEnd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Sol. 1</w:t>
            </w:r>
            <w:proofErr w:type="gramStart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Hořlavá</w:t>
            </w:r>
            <w:proofErr w:type="gramEnd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tuhá látka kategorie 1</w:t>
            </w:r>
          </w:p>
          <w:p w14:paraId="07127301" w14:textId="342A8190" w:rsidR="00E20C76" w:rsidRPr="008D72AC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</w:t>
            </w:r>
            <w:proofErr w:type="spellEnd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</w:t>
            </w:r>
            <w:proofErr w:type="spellEnd"/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Nebezpečný pro vodní prostředí, chronicky, kategorie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64404" w:rsidRPr="00E20C76" w14:paraId="36050644" w14:textId="77777777" w:rsidTr="00984DDD">
        <w:tc>
          <w:tcPr>
            <w:tcW w:w="1158" w:type="dxa"/>
          </w:tcPr>
          <w:p w14:paraId="1F95A30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16.2</w:t>
            </w:r>
          </w:p>
        </w:tc>
        <w:tc>
          <w:tcPr>
            <w:tcW w:w="9390" w:type="dxa"/>
          </w:tcPr>
          <w:p w14:paraId="4A9AF71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proškolování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64404" w:rsidRPr="00E20C76" w14:paraId="32F2284B" w14:textId="77777777" w:rsidTr="00984DDD">
        <w:tc>
          <w:tcPr>
            <w:tcW w:w="1158" w:type="dxa"/>
          </w:tcPr>
          <w:p w14:paraId="79CE364B" w14:textId="77777777" w:rsidR="00F64404" w:rsidRPr="00E20C76" w:rsidRDefault="00F64404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705C20B" w14:textId="77777777" w:rsidR="00F64404" w:rsidRPr="00E20C76" w:rsidRDefault="00F64404" w:rsidP="00F644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Školení bezpečnosti práce pro zacházení s chemickými látkami</w:t>
            </w:r>
          </w:p>
        </w:tc>
      </w:tr>
      <w:tr w:rsidR="00F64404" w:rsidRPr="00E20C76" w14:paraId="3E90F463" w14:textId="77777777" w:rsidTr="00984DDD">
        <w:tc>
          <w:tcPr>
            <w:tcW w:w="1158" w:type="dxa"/>
          </w:tcPr>
          <w:p w14:paraId="0F00884F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16.3</w:t>
            </w:r>
          </w:p>
        </w:tc>
        <w:tc>
          <w:tcPr>
            <w:tcW w:w="9390" w:type="dxa"/>
          </w:tcPr>
          <w:p w14:paraId="227A07F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Doporučené způsoby použití</w:t>
            </w:r>
          </w:p>
        </w:tc>
      </w:tr>
      <w:tr w:rsidR="00FD4C5E" w:rsidRPr="00E20C76" w14:paraId="7347F0D0" w14:textId="77777777" w:rsidTr="00984DDD">
        <w:tc>
          <w:tcPr>
            <w:tcW w:w="1158" w:type="dxa"/>
          </w:tcPr>
          <w:p w14:paraId="59FC4963" w14:textId="77777777" w:rsidR="00FD4C5E" w:rsidRPr="00E20C76" w:rsidRDefault="00FD4C5E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E98497C" w14:textId="550A9D05" w:rsidR="00FD4C5E" w:rsidRPr="00E20C76" w:rsidRDefault="00FD4C5E" w:rsidP="00FD4C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Viz bod 1.1</w:t>
            </w:r>
          </w:p>
        </w:tc>
      </w:tr>
      <w:tr w:rsidR="00A41F17" w:rsidRPr="00E20C76" w14:paraId="6E015E97" w14:textId="77777777" w:rsidTr="00984DDD">
        <w:tc>
          <w:tcPr>
            <w:tcW w:w="1158" w:type="dxa"/>
          </w:tcPr>
          <w:p w14:paraId="29EE4271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90" w:type="dxa"/>
          </w:tcPr>
          <w:p w14:paraId="3477ABAA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A41F17" w:rsidRPr="00E20C76" w14:paraId="4D423A52" w14:textId="77777777" w:rsidTr="00984DDD">
        <w:tc>
          <w:tcPr>
            <w:tcW w:w="1158" w:type="dxa"/>
          </w:tcPr>
          <w:p w14:paraId="4596ABC9" w14:textId="77777777" w:rsidR="00A41F17" w:rsidRPr="00E20C76" w:rsidRDefault="00A41F17" w:rsidP="00A41F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490B45" w14:textId="139475BC" w:rsidR="00A41F17" w:rsidRPr="00E20C76" w:rsidRDefault="00A41F1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Bezpečnostní list dodavatele z EU </w:t>
            </w:r>
            <w:r w:rsidR="00C5104B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dle verze 1 ze dne </w:t>
            </w:r>
            <w:r w:rsid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="00C649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.3.2025</w:t>
            </w:r>
            <w:r w:rsidR="00E20C7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Plně jsme se spolehli na informace dodavatele.</w:t>
            </w:r>
          </w:p>
        </w:tc>
      </w:tr>
      <w:tr w:rsidR="00A41F17" w:rsidRPr="00E20C76" w14:paraId="348CF751" w14:textId="77777777" w:rsidTr="00984DDD">
        <w:tc>
          <w:tcPr>
            <w:tcW w:w="1158" w:type="dxa"/>
          </w:tcPr>
          <w:p w14:paraId="00C436FB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90" w:type="dxa"/>
          </w:tcPr>
          <w:p w14:paraId="027DF0D6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Změny oproti předchozí verzi bezpečnostního listu</w:t>
            </w:r>
          </w:p>
        </w:tc>
      </w:tr>
      <w:tr w:rsidR="00C00138" w:rsidRPr="00E20C76" w14:paraId="31C8914B" w14:textId="77777777" w:rsidTr="00984DDD">
        <w:tc>
          <w:tcPr>
            <w:tcW w:w="1158" w:type="dxa"/>
          </w:tcPr>
          <w:p w14:paraId="1EF8BEE5" w14:textId="77777777" w:rsidR="00C00138" w:rsidRPr="00E20C76" w:rsidRDefault="00C00138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7C027ED" w14:textId="76238605" w:rsidR="00C00138" w:rsidRPr="00E20C76" w:rsidRDefault="00E20C76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První verze</w:t>
            </w:r>
          </w:p>
        </w:tc>
      </w:tr>
      <w:tr w:rsidR="00E20C76" w:rsidRPr="00E20C76" w14:paraId="08577E0A" w14:textId="77777777" w:rsidTr="00984DDD">
        <w:tc>
          <w:tcPr>
            <w:tcW w:w="1158" w:type="dxa"/>
          </w:tcPr>
          <w:p w14:paraId="3E5F1674" w14:textId="2D22B92B" w:rsidR="00E20C76" w:rsidRPr="00E20C76" w:rsidRDefault="00E20C76" w:rsidP="00C0013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390" w:type="dxa"/>
          </w:tcPr>
          <w:p w14:paraId="4C61059E" w14:textId="77777777" w:rsidR="00E20C76" w:rsidRPr="00E20C76" w:rsidRDefault="00E20C76" w:rsidP="00C00138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Zpracovatel bezpečnostního listu v českém jazyce</w:t>
            </w:r>
          </w:p>
          <w:p w14:paraId="60ED3D5A" w14:textId="33988D02" w:rsidR="00E20C76" w:rsidRPr="00E20C76" w:rsidRDefault="00E20C76" w:rsidP="00E20C76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 xml:space="preserve">Ing. Martina Šrámková, </w:t>
            </w:r>
            <w:hyperlink r:id="rId7" w:history="1">
              <w:r w:rsidRPr="00E20C76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martina_sramkova@volny.cz</w:t>
              </w:r>
            </w:hyperlink>
          </w:p>
        </w:tc>
      </w:tr>
    </w:tbl>
    <w:p w14:paraId="767AB279" w14:textId="77777777" w:rsidR="00476DBA" w:rsidRPr="00E20C76" w:rsidRDefault="00476DBA">
      <w:pPr>
        <w:rPr>
          <w:rFonts w:asciiTheme="minorHAnsi" w:hAnsiTheme="minorHAnsi" w:cstheme="minorHAnsi"/>
          <w:sz w:val="20"/>
          <w:szCs w:val="20"/>
        </w:rPr>
      </w:pPr>
    </w:p>
    <w:sectPr w:rsidR="00476DBA" w:rsidRPr="00E20C76" w:rsidSect="00476DBA">
      <w:headerReference w:type="default" r:id="rId8"/>
      <w:footerReference w:type="default" r:id="rId9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939E" w14:textId="77777777" w:rsidR="003F7A96" w:rsidRDefault="003F7A96" w:rsidP="000E7209">
      <w:r>
        <w:separator/>
      </w:r>
    </w:p>
  </w:endnote>
  <w:endnote w:type="continuationSeparator" w:id="0">
    <w:p w14:paraId="545CB653" w14:textId="77777777" w:rsidR="003F7A96" w:rsidRDefault="003F7A96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629D" w14:textId="3B7631F9" w:rsidR="00C26639" w:rsidRPr="0012682F" w:rsidRDefault="00132A12" w:rsidP="00132A12">
    <w:pPr>
      <w:pStyle w:val="Zpat"/>
      <w:jc w:val="center"/>
      <w:rPr>
        <w:rFonts w:ascii="Arial" w:hAnsi="Arial" w:cs="Arial"/>
        <w:sz w:val="16"/>
        <w:szCs w:val="16"/>
      </w:rPr>
    </w:pPr>
    <w:r w:rsidRPr="00132A12">
      <w:rPr>
        <w:rStyle w:val="slostrnky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ADF35F" wp14:editId="71C56FDF">
          <wp:simplePos x="0" y="0"/>
          <wp:positionH relativeFrom="column">
            <wp:posOffset>5087188</wp:posOffset>
          </wp:positionH>
          <wp:positionV relativeFrom="paragraph">
            <wp:posOffset>-61696</wp:posOffset>
          </wp:positionV>
          <wp:extent cx="1612900" cy="426085"/>
          <wp:effectExtent l="0" t="0" r="6350" b="0"/>
          <wp:wrapSquare wrapText="bothSides"/>
          <wp:docPr id="14230950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C603" w14:textId="77777777" w:rsidR="003F7A96" w:rsidRDefault="003F7A96" w:rsidP="000E7209">
      <w:r>
        <w:separator/>
      </w:r>
    </w:p>
  </w:footnote>
  <w:footnote w:type="continuationSeparator" w:id="0">
    <w:p w14:paraId="777235F6" w14:textId="77777777" w:rsidR="003F7A96" w:rsidRDefault="003F7A96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03"/>
      <w:gridCol w:w="5335"/>
    </w:tblGrid>
    <w:tr w:rsidR="00C26639" w:rsidRPr="00D275A6" w14:paraId="277EA96A" w14:textId="77777777" w:rsidTr="0013356C">
      <w:tc>
        <w:tcPr>
          <w:tcW w:w="10438" w:type="dxa"/>
          <w:gridSpan w:val="2"/>
        </w:tcPr>
        <w:p w14:paraId="694414FF" w14:textId="77777777" w:rsidR="00C26639" w:rsidRPr="00E20C76" w:rsidRDefault="00C26639" w:rsidP="00A34A39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E20C76">
            <w:rPr>
              <w:rFonts w:asciiTheme="minorHAnsi" w:hAnsiTheme="minorHAnsi" w:cstheme="minorHAnsi"/>
              <w:b/>
              <w:bCs/>
            </w:rPr>
            <w:t>Bezpečnostní list</w:t>
          </w:r>
        </w:p>
        <w:p w14:paraId="67043553" w14:textId="1B3FC6A8" w:rsidR="00C26639" w:rsidRPr="00D275A6" w:rsidRDefault="00C26639" w:rsidP="0013356C">
          <w:pPr>
            <w:pStyle w:val="Zhlav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275A6">
            <w:rPr>
              <w:rFonts w:asciiTheme="minorHAnsi" w:hAnsiTheme="minorHAnsi" w:cstheme="minorHAnsi"/>
              <w:sz w:val="20"/>
              <w:szCs w:val="20"/>
            </w:rPr>
            <w:t>podle Nařízení Evropského parlamentu a Rady ES č.1907/2006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D275A6">
            <w:rPr>
              <w:rFonts w:asciiTheme="minorHAnsi" w:hAnsiTheme="minorHAnsi" w:cstheme="minorHAnsi"/>
              <w:sz w:val="20"/>
              <w:szCs w:val="20"/>
            </w:rPr>
            <w:t xml:space="preserve">ve znění Nařízení Komise (EU) 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>2020/878</w:t>
          </w:r>
        </w:p>
      </w:tc>
    </w:tr>
    <w:tr w:rsidR="00C26639" w:rsidRPr="00D275A6" w14:paraId="5C123505" w14:textId="77777777" w:rsidTr="00E20C76">
      <w:tc>
        <w:tcPr>
          <w:tcW w:w="5103" w:type="dxa"/>
        </w:tcPr>
        <w:p w14:paraId="6A20EE44" w14:textId="77777777" w:rsidR="00E20C76" w:rsidRPr="00E20C76" w:rsidRDefault="00C26639" w:rsidP="00E20C76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Datum vydání: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="00132A12" w:rsidRPr="00E20C76">
            <w:rPr>
              <w:rFonts w:asciiTheme="minorHAnsi" w:hAnsiTheme="minorHAnsi" w:cstheme="minorHAnsi"/>
              <w:sz w:val="20"/>
              <w:szCs w:val="20"/>
            </w:rPr>
            <w:t>29.10.2025</w:t>
          </w:r>
        </w:p>
        <w:p w14:paraId="2A9D94E3" w14:textId="6046DC2C" w:rsidR="00C26639" w:rsidRPr="00E20C76" w:rsidRDefault="00E20C76" w:rsidP="0013356C">
          <w:pPr>
            <w:pStyle w:val="Normln0"/>
            <w:rPr>
              <w:rFonts w:asciiTheme="minorHAnsi" w:hAnsiTheme="minorHAnsi" w:cstheme="minorHAnsi"/>
            </w:rPr>
          </w:pPr>
          <w:r w:rsidRPr="00E20C76">
            <w:rPr>
              <w:rFonts w:asciiTheme="minorHAnsi" w:hAnsiTheme="minorHAnsi" w:cstheme="minorHAnsi"/>
            </w:rPr>
            <w:t xml:space="preserve">Nahrazuje verzi: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 xml:space="preserve">- ze dne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>-</w:t>
          </w:r>
        </w:p>
      </w:tc>
      <w:tc>
        <w:tcPr>
          <w:tcW w:w="5335" w:type="dxa"/>
        </w:tcPr>
        <w:p w14:paraId="7B002A17" w14:textId="168BA6A5" w:rsidR="00E20C76" w:rsidRPr="00E20C76" w:rsidRDefault="00E20C76" w:rsidP="00E20C76">
          <w:pPr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 xml:space="preserve">Číslo BL: </w:t>
          </w:r>
          <w:proofErr w:type="spellStart"/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>xx</w:t>
          </w:r>
          <w:proofErr w:type="spellEnd"/>
        </w:p>
        <w:p w14:paraId="28FBB9C3" w14:textId="7798E6C3" w:rsidR="00E20C76" w:rsidRPr="00E20C76" w:rsidRDefault="00E20C76" w:rsidP="008111D3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Verze: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  <w:t>1.</w:t>
          </w:r>
          <w:proofErr w:type="gramStart"/>
          <w:r w:rsidRPr="00E20C76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ze</w:t>
          </w:r>
          <w:proofErr w:type="gramEnd"/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dne 29.10.2025</w:t>
          </w:r>
        </w:p>
      </w:tc>
    </w:tr>
    <w:tr w:rsidR="00C26639" w:rsidRPr="00D275A6" w14:paraId="3D6F4BB7" w14:textId="77777777" w:rsidTr="0013356C">
      <w:trPr>
        <w:trHeight w:val="561"/>
      </w:trPr>
      <w:tc>
        <w:tcPr>
          <w:tcW w:w="10438" w:type="dxa"/>
          <w:gridSpan w:val="2"/>
          <w:shd w:val="clear" w:color="auto" w:fill="D9D9D9"/>
          <w:vAlign w:val="center"/>
        </w:tcPr>
        <w:p w14:paraId="4188F016" w14:textId="3ADF27B3" w:rsidR="00C26639" w:rsidRPr="00D275A6" w:rsidRDefault="00124ADC" w:rsidP="00132A12">
          <w:pPr>
            <w:pStyle w:val="Zhlav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b/>
            </w:rPr>
          </w:pPr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801,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premium</w:t>
          </w:r>
          <w:proofErr w:type="spellEnd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stamp</w:t>
          </w:r>
          <w:proofErr w:type="spellEnd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pad</w:t>
          </w:r>
          <w:proofErr w:type="spellEnd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ink</w:t>
          </w:r>
          <w:proofErr w:type="spellEnd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blue,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silent</w:t>
          </w:r>
          <w:proofErr w:type="spellEnd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 xml:space="preserve"> </w:t>
          </w:r>
          <w:proofErr w:type="spellStart"/>
          <w:r w:rsidRPr="00124ADC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sea</w:t>
          </w:r>
          <w:proofErr w:type="spellEnd"/>
          <w:r>
            <w:rPr>
              <w:rFonts w:asciiTheme="minorHAnsi" w:hAnsiTheme="minorHAnsi" w:cstheme="minorHAnsi"/>
              <w:b/>
              <w:bCs/>
              <w:i/>
              <w:iCs/>
            </w:rPr>
            <w:t xml:space="preserve"> /</w:t>
          </w:r>
          <w:r w:rsidRPr="00EA3DA7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 </w:t>
          </w:r>
          <w:r w:rsidRPr="00EA3DA7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Col 24 </w:t>
          </w:r>
          <w:proofErr w:type="spellStart"/>
          <w:r>
            <w:rPr>
              <w:rFonts w:asciiTheme="minorHAnsi" w:hAnsiTheme="minorHAnsi" w:cstheme="minorHAnsi"/>
              <w:i/>
              <w:iCs/>
              <w:sz w:val="20"/>
              <w:szCs w:val="20"/>
            </w:rPr>
            <w:t>blau</w:t>
          </w:r>
          <w:proofErr w:type="spellEnd"/>
        </w:p>
      </w:tc>
    </w:tr>
  </w:tbl>
  <w:p w14:paraId="71B88F82" w14:textId="77777777" w:rsidR="00C26639" w:rsidRDefault="00C26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4EFB"/>
    <w:rsid w:val="000271CB"/>
    <w:rsid w:val="000363DA"/>
    <w:rsid w:val="00061C81"/>
    <w:rsid w:val="0007398F"/>
    <w:rsid w:val="00073B85"/>
    <w:rsid w:val="00082C95"/>
    <w:rsid w:val="00086852"/>
    <w:rsid w:val="000A0D7E"/>
    <w:rsid w:val="000B2C02"/>
    <w:rsid w:val="000B60E5"/>
    <w:rsid w:val="000E1EB0"/>
    <w:rsid w:val="000E408E"/>
    <w:rsid w:val="000E7209"/>
    <w:rsid w:val="000F3961"/>
    <w:rsid w:val="001051C5"/>
    <w:rsid w:val="00124ADC"/>
    <w:rsid w:val="0012682F"/>
    <w:rsid w:val="00132A12"/>
    <w:rsid w:val="0013356C"/>
    <w:rsid w:val="001414FC"/>
    <w:rsid w:val="0015437E"/>
    <w:rsid w:val="00154647"/>
    <w:rsid w:val="001D6EDE"/>
    <w:rsid w:val="001E2C1D"/>
    <w:rsid w:val="001F4FAF"/>
    <w:rsid w:val="001F6062"/>
    <w:rsid w:val="00200096"/>
    <w:rsid w:val="00201F9E"/>
    <w:rsid w:val="002139A3"/>
    <w:rsid w:val="00237614"/>
    <w:rsid w:val="00240479"/>
    <w:rsid w:val="00252A7A"/>
    <w:rsid w:val="0026128A"/>
    <w:rsid w:val="002643C2"/>
    <w:rsid w:val="00266593"/>
    <w:rsid w:val="002745E5"/>
    <w:rsid w:val="00286BD5"/>
    <w:rsid w:val="002A2C82"/>
    <w:rsid w:val="002A36EC"/>
    <w:rsid w:val="002B2476"/>
    <w:rsid w:val="002B506B"/>
    <w:rsid w:val="002C20DB"/>
    <w:rsid w:val="002C49A4"/>
    <w:rsid w:val="002C5356"/>
    <w:rsid w:val="002D345C"/>
    <w:rsid w:val="002D4A1E"/>
    <w:rsid w:val="002E1D49"/>
    <w:rsid w:val="002E46CB"/>
    <w:rsid w:val="00303C31"/>
    <w:rsid w:val="0031167B"/>
    <w:rsid w:val="0032500E"/>
    <w:rsid w:val="003353FD"/>
    <w:rsid w:val="00350597"/>
    <w:rsid w:val="00365854"/>
    <w:rsid w:val="00370B69"/>
    <w:rsid w:val="003937D3"/>
    <w:rsid w:val="00395D00"/>
    <w:rsid w:val="003B0911"/>
    <w:rsid w:val="003D26B4"/>
    <w:rsid w:val="003E60A1"/>
    <w:rsid w:val="003F7A96"/>
    <w:rsid w:val="004076BE"/>
    <w:rsid w:val="00420DDF"/>
    <w:rsid w:val="00425BDD"/>
    <w:rsid w:val="004457CE"/>
    <w:rsid w:val="004527A7"/>
    <w:rsid w:val="004657BC"/>
    <w:rsid w:val="00470675"/>
    <w:rsid w:val="00476DBA"/>
    <w:rsid w:val="00477F1D"/>
    <w:rsid w:val="00495B9F"/>
    <w:rsid w:val="004A0DA6"/>
    <w:rsid w:val="004C31BC"/>
    <w:rsid w:val="004C54DA"/>
    <w:rsid w:val="004C707B"/>
    <w:rsid w:val="004D517F"/>
    <w:rsid w:val="004F1C48"/>
    <w:rsid w:val="004F1D2A"/>
    <w:rsid w:val="0050393A"/>
    <w:rsid w:val="005170F6"/>
    <w:rsid w:val="00540EA6"/>
    <w:rsid w:val="00567770"/>
    <w:rsid w:val="00574099"/>
    <w:rsid w:val="005D38A2"/>
    <w:rsid w:val="005F0705"/>
    <w:rsid w:val="006073BE"/>
    <w:rsid w:val="00613A97"/>
    <w:rsid w:val="00614E1D"/>
    <w:rsid w:val="00624232"/>
    <w:rsid w:val="006355D2"/>
    <w:rsid w:val="00650FF2"/>
    <w:rsid w:val="00657324"/>
    <w:rsid w:val="00660776"/>
    <w:rsid w:val="006667C9"/>
    <w:rsid w:val="00680286"/>
    <w:rsid w:val="00687299"/>
    <w:rsid w:val="006915A4"/>
    <w:rsid w:val="006A7B0B"/>
    <w:rsid w:val="006B5FCD"/>
    <w:rsid w:val="006C27AC"/>
    <w:rsid w:val="006D4430"/>
    <w:rsid w:val="006F00DF"/>
    <w:rsid w:val="00725A47"/>
    <w:rsid w:val="007426B8"/>
    <w:rsid w:val="00766320"/>
    <w:rsid w:val="00782D67"/>
    <w:rsid w:val="00783975"/>
    <w:rsid w:val="007B5FD2"/>
    <w:rsid w:val="007C3D69"/>
    <w:rsid w:val="007D063C"/>
    <w:rsid w:val="008111D3"/>
    <w:rsid w:val="008266CC"/>
    <w:rsid w:val="00834AE9"/>
    <w:rsid w:val="008364A7"/>
    <w:rsid w:val="00840193"/>
    <w:rsid w:val="00882615"/>
    <w:rsid w:val="00892BFC"/>
    <w:rsid w:val="00892CC3"/>
    <w:rsid w:val="008A586E"/>
    <w:rsid w:val="008C701A"/>
    <w:rsid w:val="008C7EB1"/>
    <w:rsid w:val="008D4FB9"/>
    <w:rsid w:val="008D72AC"/>
    <w:rsid w:val="008E0815"/>
    <w:rsid w:val="008F1801"/>
    <w:rsid w:val="00934812"/>
    <w:rsid w:val="00942412"/>
    <w:rsid w:val="00944999"/>
    <w:rsid w:val="0098248C"/>
    <w:rsid w:val="00984DDD"/>
    <w:rsid w:val="00986E28"/>
    <w:rsid w:val="00997279"/>
    <w:rsid w:val="009A467F"/>
    <w:rsid w:val="009A59DA"/>
    <w:rsid w:val="009B4104"/>
    <w:rsid w:val="009C243E"/>
    <w:rsid w:val="009E4F2F"/>
    <w:rsid w:val="009F4763"/>
    <w:rsid w:val="00A22B90"/>
    <w:rsid w:val="00A2396B"/>
    <w:rsid w:val="00A30ECC"/>
    <w:rsid w:val="00A34A39"/>
    <w:rsid w:val="00A379BA"/>
    <w:rsid w:val="00A406F3"/>
    <w:rsid w:val="00A41F17"/>
    <w:rsid w:val="00A50E94"/>
    <w:rsid w:val="00A51016"/>
    <w:rsid w:val="00A57AD4"/>
    <w:rsid w:val="00A61B47"/>
    <w:rsid w:val="00A80B2C"/>
    <w:rsid w:val="00A921CE"/>
    <w:rsid w:val="00A971D0"/>
    <w:rsid w:val="00AA4314"/>
    <w:rsid w:val="00AA7ADD"/>
    <w:rsid w:val="00AD0402"/>
    <w:rsid w:val="00B01C5F"/>
    <w:rsid w:val="00B33BDC"/>
    <w:rsid w:val="00B355DD"/>
    <w:rsid w:val="00B51219"/>
    <w:rsid w:val="00B562A8"/>
    <w:rsid w:val="00B575F3"/>
    <w:rsid w:val="00B6419A"/>
    <w:rsid w:val="00BA4DA0"/>
    <w:rsid w:val="00BC0DE3"/>
    <w:rsid w:val="00BC5F13"/>
    <w:rsid w:val="00BC782F"/>
    <w:rsid w:val="00BD5D72"/>
    <w:rsid w:val="00BE4C0E"/>
    <w:rsid w:val="00BF1C5C"/>
    <w:rsid w:val="00BF63FB"/>
    <w:rsid w:val="00C00138"/>
    <w:rsid w:val="00C054C6"/>
    <w:rsid w:val="00C0711E"/>
    <w:rsid w:val="00C2392C"/>
    <w:rsid w:val="00C24546"/>
    <w:rsid w:val="00C26639"/>
    <w:rsid w:val="00C37864"/>
    <w:rsid w:val="00C43A0A"/>
    <w:rsid w:val="00C5104B"/>
    <w:rsid w:val="00C64999"/>
    <w:rsid w:val="00C81DE0"/>
    <w:rsid w:val="00C85173"/>
    <w:rsid w:val="00CD1025"/>
    <w:rsid w:val="00CD1C29"/>
    <w:rsid w:val="00CD6B83"/>
    <w:rsid w:val="00CF7B99"/>
    <w:rsid w:val="00D02568"/>
    <w:rsid w:val="00D06F4F"/>
    <w:rsid w:val="00D16C6B"/>
    <w:rsid w:val="00D275A6"/>
    <w:rsid w:val="00D33BAE"/>
    <w:rsid w:val="00D468E0"/>
    <w:rsid w:val="00D4758E"/>
    <w:rsid w:val="00D9400B"/>
    <w:rsid w:val="00DA78C9"/>
    <w:rsid w:val="00DB6C21"/>
    <w:rsid w:val="00DC359E"/>
    <w:rsid w:val="00DD31E3"/>
    <w:rsid w:val="00DE4340"/>
    <w:rsid w:val="00E10DF7"/>
    <w:rsid w:val="00E14D44"/>
    <w:rsid w:val="00E20C76"/>
    <w:rsid w:val="00E22656"/>
    <w:rsid w:val="00E57D18"/>
    <w:rsid w:val="00E834BD"/>
    <w:rsid w:val="00E836D7"/>
    <w:rsid w:val="00E92A0B"/>
    <w:rsid w:val="00EA3DA7"/>
    <w:rsid w:val="00EB39ED"/>
    <w:rsid w:val="00EC2299"/>
    <w:rsid w:val="00EC7521"/>
    <w:rsid w:val="00ED5D10"/>
    <w:rsid w:val="00EE0D6B"/>
    <w:rsid w:val="00EE6CD9"/>
    <w:rsid w:val="00F05E77"/>
    <w:rsid w:val="00F1234B"/>
    <w:rsid w:val="00F24643"/>
    <w:rsid w:val="00F3377B"/>
    <w:rsid w:val="00F4525A"/>
    <w:rsid w:val="00F50DD2"/>
    <w:rsid w:val="00F64404"/>
    <w:rsid w:val="00F77703"/>
    <w:rsid w:val="00F84E9B"/>
    <w:rsid w:val="00F930E4"/>
    <w:rsid w:val="00F94A6C"/>
    <w:rsid w:val="00F953BE"/>
    <w:rsid w:val="00F96F0D"/>
    <w:rsid w:val="00FB20B1"/>
    <w:rsid w:val="00FB3EE0"/>
    <w:rsid w:val="00FB5D66"/>
    <w:rsid w:val="00FC50D9"/>
    <w:rsid w:val="00FC76E9"/>
    <w:rsid w:val="00FD4C5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DFCDA"/>
  <w15:chartTrackingRefBased/>
  <w15:docId w15:val="{E2F0480F-FF88-4178-AF3F-67D4FA3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4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shorttext">
    <w:name w:val="short_text"/>
    <w:basedOn w:val="Standardnpsmoodstavce"/>
    <w:rsid w:val="00495B9F"/>
  </w:style>
  <w:style w:type="character" w:customStyle="1" w:styleId="tlid-translation">
    <w:name w:val="tlid-translation"/>
    <w:basedOn w:val="Standardnpsmoodstavce"/>
    <w:rsid w:val="002C49A4"/>
  </w:style>
  <w:style w:type="paragraph" w:styleId="Odstavecseseznamem">
    <w:name w:val="List Paragraph"/>
    <w:basedOn w:val="Normln"/>
    <w:uiPriority w:val="34"/>
    <w:qFormat/>
    <w:rsid w:val="005170F6"/>
    <w:pPr>
      <w:ind w:left="720"/>
      <w:contextualSpacing/>
    </w:pPr>
  </w:style>
  <w:style w:type="character" w:customStyle="1" w:styleId="oj-italic">
    <w:name w:val="oj-italic"/>
    <w:rsid w:val="00A921CE"/>
  </w:style>
  <w:style w:type="character" w:customStyle="1" w:styleId="ZhlavChar">
    <w:name w:val="Záhlaví Char"/>
    <w:basedOn w:val="Standardnpsmoodstavce"/>
    <w:link w:val="Zhlav"/>
    <w:rsid w:val="0013356C"/>
    <w:rPr>
      <w:sz w:val="24"/>
      <w:szCs w:val="24"/>
    </w:rPr>
  </w:style>
  <w:style w:type="character" w:customStyle="1" w:styleId="rynqvb">
    <w:name w:val="rynqvb"/>
    <w:basedOn w:val="Standardnpsmoodstavce"/>
    <w:rsid w:val="00FD4C5E"/>
  </w:style>
  <w:style w:type="character" w:styleId="Nevyeenzmnka">
    <w:name w:val="Unresolved Mention"/>
    <w:basedOn w:val="Standardnpsmoodstavce"/>
    <w:uiPriority w:val="99"/>
    <w:semiHidden/>
    <w:unhideWhenUsed/>
    <w:rsid w:val="00E20C7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F246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_sramkova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olo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2448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16865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Martina Šrámková</cp:lastModifiedBy>
  <cp:revision>4</cp:revision>
  <cp:lastPrinted>2012-04-26T13:51:00Z</cp:lastPrinted>
  <dcterms:created xsi:type="dcterms:W3CDTF">2025-10-29T17:51:00Z</dcterms:created>
  <dcterms:modified xsi:type="dcterms:W3CDTF">2025-10-29T18:18:00Z</dcterms:modified>
</cp:coreProperties>
</file>